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A4271" w14:textId="77777777" w:rsidR="002E6B50" w:rsidRPr="002438E6" w:rsidRDefault="002E6B50" w:rsidP="002438E6">
      <w:pPr>
        <w:pStyle w:val="Heading2"/>
        <w:rPr>
          <w:color w:val="auto"/>
        </w:rPr>
      </w:pPr>
      <w:r w:rsidRPr="002438E6">
        <w:rPr>
          <w:color w:val="auto"/>
        </w:rPr>
        <w:t>Precise annotation of TSS peaks uncovering complexity in state-dependent activation of transcription initiation</w:t>
      </w:r>
    </w:p>
    <w:p w14:paraId="2E93CAC2" w14:textId="77777777" w:rsidR="00443339" w:rsidRDefault="00443339"/>
    <w:p w14:paraId="51B94ACC" w14:textId="77777777" w:rsidR="005A6433" w:rsidRDefault="005A6433"/>
    <w:p w14:paraId="76D648EB" w14:textId="69EBB824" w:rsidR="002E6B50" w:rsidRPr="002438E6" w:rsidRDefault="002E6B50" w:rsidP="002438E6">
      <w:pPr>
        <w:pStyle w:val="Subtitle"/>
        <w:rPr>
          <w:color w:val="auto"/>
        </w:rPr>
      </w:pPr>
      <w:r w:rsidRPr="002438E6">
        <w:rPr>
          <w:color w:val="auto"/>
        </w:rPr>
        <w:t>Hideya Kawaji</w:t>
      </w:r>
      <w:r w:rsidR="009A522A" w:rsidRPr="002438E6">
        <w:rPr>
          <w:rFonts w:cstheme="majorHAnsi"/>
          <w:color w:val="auto"/>
          <w:sz w:val="20"/>
          <w:szCs w:val="20"/>
          <w:vertAlign w:val="superscript"/>
        </w:rPr>
        <w:t>1</w:t>
      </w:r>
      <w:proofErr w:type="gramStart"/>
      <w:r w:rsidR="009A522A" w:rsidRPr="002438E6">
        <w:rPr>
          <w:rFonts w:cstheme="majorHAnsi"/>
          <w:color w:val="auto"/>
          <w:sz w:val="20"/>
          <w:szCs w:val="20"/>
          <w:vertAlign w:val="superscript"/>
        </w:rPr>
        <w:t>,2,3</w:t>
      </w:r>
      <w:r w:rsidR="004D2FAD" w:rsidRPr="002438E6">
        <w:rPr>
          <w:rFonts w:cstheme="majorHAnsi"/>
          <w:color w:val="auto"/>
          <w:sz w:val="20"/>
          <w:szCs w:val="20"/>
          <w:vertAlign w:val="superscript"/>
        </w:rPr>
        <w:t>,4</w:t>
      </w:r>
      <w:proofErr w:type="gramEnd"/>
      <w:r w:rsidR="00596B33" w:rsidRPr="002438E6">
        <w:rPr>
          <w:color w:val="auto"/>
        </w:rPr>
        <w:t xml:space="preserve"> and </w:t>
      </w:r>
      <w:r w:rsidR="00217C45" w:rsidRPr="002438E6">
        <w:rPr>
          <w:color w:val="auto"/>
        </w:rPr>
        <w:t>Alistair Forrest</w:t>
      </w:r>
      <w:r w:rsidR="004D2FAD" w:rsidRPr="002438E6">
        <w:rPr>
          <w:rFonts w:cstheme="majorHAnsi"/>
          <w:color w:val="auto"/>
          <w:sz w:val="20"/>
          <w:szCs w:val="20"/>
          <w:vertAlign w:val="superscript"/>
        </w:rPr>
        <w:t>1,4</w:t>
      </w:r>
      <w:r w:rsidR="00217C45" w:rsidRPr="002438E6">
        <w:rPr>
          <w:color w:val="auto"/>
        </w:rPr>
        <w:t xml:space="preserve"> for </w:t>
      </w:r>
      <w:r w:rsidR="00BE33F3" w:rsidRPr="002438E6">
        <w:rPr>
          <w:color w:val="auto"/>
        </w:rPr>
        <w:t>the FANTOM consortium</w:t>
      </w:r>
    </w:p>
    <w:p w14:paraId="5D9B326F" w14:textId="77777777" w:rsidR="004D2FAD" w:rsidRDefault="004D2FAD"/>
    <w:p w14:paraId="638B0374" w14:textId="54761BAF" w:rsidR="004D2FAD" w:rsidRPr="00580CDE" w:rsidRDefault="004D2FAD" w:rsidP="004D2FA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580CDE">
        <w:rPr>
          <w:rFonts w:asciiTheme="majorHAnsi" w:hAnsiTheme="majorHAnsi" w:cstheme="majorHAnsi"/>
          <w:sz w:val="20"/>
          <w:szCs w:val="20"/>
        </w:rPr>
        <w:t>RIKEN</w:t>
      </w:r>
      <w:r w:rsidR="004E48B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Omics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Science Center, RIKEN Yokohama Institute, </w:t>
      </w:r>
      <w:r w:rsidRPr="00580CDE">
        <w:rPr>
          <w:rFonts w:asciiTheme="majorHAnsi" w:hAnsiTheme="majorHAnsi" w:cstheme="majorHAnsi"/>
          <w:sz w:val="20"/>
          <w:szCs w:val="20"/>
        </w:rPr>
        <w:t xml:space="preserve">1-7-22 </w:t>
      </w:r>
      <w:proofErr w:type="spellStart"/>
      <w:r w:rsidRPr="00580CDE">
        <w:rPr>
          <w:rFonts w:asciiTheme="majorHAnsi" w:hAnsiTheme="majorHAnsi" w:cstheme="majorHAnsi"/>
          <w:sz w:val="20"/>
          <w:szCs w:val="20"/>
        </w:rPr>
        <w:t>Suehiro-cho</w:t>
      </w:r>
      <w:proofErr w:type="spellEnd"/>
      <w:r w:rsidRPr="00580CDE">
        <w:rPr>
          <w:rFonts w:asciiTheme="majorHAnsi" w:hAnsiTheme="majorHAnsi" w:cstheme="majorHAnsi"/>
          <w:sz w:val="20"/>
          <w:szCs w:val="20"/>
        </w:rPr>
        <w:t>, Tsurumi-</w:t>
      </w:r>
      <w:proofErr w:type="spellStart"/>
      <w:r w:rsidRPr="00580CDE">
        <w:rPr>
          <w:rFonts w:asciiTheme="majorHAnsi" w:hAnsiTheme="majorHAnsi" w:cstheme="majorHAnsi"/>
          <w:sz w:val="20"/>
          <w:szCs w:val="20"/>
        </w:rPr>
        <w:t>ku</w:t>
      </w:r>
      <w:proofErr w:type="spellEnd"/>
      <w:r w:rsidRPr="00580CDE">
        <w:rPr>
          <w:rFonts w:asciiTheme="majorHAnsi" w:hAnsiTheme="majorHAnsi" w:cstheme="majorHAnsi"/>
          <w:sz w:val="20"/>
          <w:szCs w:val="20"/>
        </w:rPr>
        <w:t>, Yoko</w:t>
      </w:r>
      <w:r>
        <w:rPr>
          <w:rFonts w:asciiTheme="majorHAnsi" w:hAnsiTheme="majorHAnsi" w:cstheme="majorHAnsi"/>
          <w:sz w:val="20"/>
          <w:szCs w:val="20"/>
        </w:rPr>
        <w:t>hama, Kanagawa, 230-0045, Japan</w:t>
      </w:r>
    </w:p>
    <w:p w14:paraId="391486FA" w14:textId="25387138" w:rsidR="004D2FAD" w:rsidRPr="00580CDE" w:rsidRDefault="004D2FAD" w:rsidP="009A522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Pr="00580CDE">
        <w:rPr>
          <w:rFonts w:asciiTheme="majorHAnsi" w:hAnsiTheme="majorHAnsi" w:cstheme="majorHAnsi"/>
          <w:sz w:val="20"/>
          <w:szCs w:val="20"/>
        </w:rPr>
        <w:t xml:space="preserve">Preventive medicine and applied genomics unit, RIKEN </w:t>
      </w:r>
      <w:r w:rsidR="008360C7" w:rsidRPr="008360C7">
        <w:rPr>
          <w:rFonts w:asciiTheme="majorHAnsi" w:hAnsiTheme="majorHAnsi" w:cstheme="majorHAnsi"/>
          <w:sz w:val="20"/>
          <w:szCs w:val="20"/>
        </w:rPr>
        <w:t>Advanced Center for Computing and Communication</w:t>
      </w:r>
      <w:r w:rsidRPr="00580CDE">
        <w:rPr>
          <w:rFonts w:asciiTheme="majorHAnsi" w:hAnsiTheme="majorHAnsi" w:cstheme="majorHAnsi"/>
          <w:sz w:val="20"/>
          <w:szCs w:val="20"/>
        </w:rPr>
        <w:t xml:space="preserve">, 1-7-22 </w:t>
      </w:r>
      <w:proofErr w:type="spellStart"/>
      <w:r w:rsidRPr="00580CDE">
        <w:rPr>
          <w:rFonts w:asciiTheme="majorHAnsi" w:hAnsiTheme="majorHAnsi" w:cstheme="majorHAnsi"/>
          <w:sz w:val="20"/>
          <w:szCs w:val="20"/>
        </w:rPr>
        <w:t>Suehiro-cho</w:t>
      </w:r>
      <w:proofErr w:type="spellEnd"/>
      <w:r w:rsidRPr="00580CDE">
        <w:rPr>
          <w:rFonts w:asciiTheme="majorHAnsi" w:hAnsiTheme="majorHAnsi" w:cstheme="majorHAnsi"/>
          <w:sz w:val="20"/>
          <w:szCs w:val="20"/>
        </w:rPr>
        <w:t>, Tsurumi-</w:t>
      </w:r>
      <w:proofErr w:type="spellStart"/>
      <w:r w:rsidRPr="00580CDE">
        <w:rPr>
          <w:rFonts w:asciiTheme="majorHAnsi" w:hAnsiTheme="majorHAnsi" w:cstheme="majorHAnsi"/>
          <w:sz w:val="20"/>
          <w:szCs w:val="20"/>
        </w:rPr>
        <w:t>ku</w:t>
      </w:r>
      <w:proofErr w:type="spellEnd"/>
      <w:r w:rsidRPr="00580CDE">
        <w:rPr>
          <w:rFonts w:asciiTheme="majorHAnsi" w:hAnsiTheme="majorHAnsi" w:cstheme="majorHAnsi"/>
          <w:sz w:val="20"/>
          <w:szCs w:val="20"/>
        </w:rPr>
        <w:t>, Yoko</w:t>
      </w:r>
      <w:r w:rsidRPr="00077DD6">
        <w:rPr>
          <w:rFonts w:asciiTheme="majorHAnsi" w:hAnsiTheme="majorHAnsi" w:cstheme="majorHAnsi"/>
          <w:sz w:val="20"/>
          <w:szCs w:val="20"/>
        </w:rPr>
        <w:t>hama, Kanagawa, 230-0045, Japan</w:t>
      </w:r>
    </w:p>
    <w:p w14:paraId="4350F2E0" w14:textId="15CDCB85" w:rsidR="009A522A" w:rsidRPr="00580CDE" w:rsidRDefault="004D2FAD" w:rsidP="009A522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vertAlign w:val="superscript"/>
        </w:rPr>
        <w:t>3</w:t>
      </w:r>
      <w:r w:rsidR="009A522A" w:rsidRPr="00580CDE">
        <w:rPr>
          <w:rFonts w:asciiTheme="majorHAnsi" w:hAnsiTheme="majorHAnsi" w:cstheme="majorHAnsi"/>
          <w:sz w:val="20"/>
          <w:szCs w:val="20"/>
        </w:rPr>
        <w:t xml:space="preserve">RIKEN Preventive Medicine and Diagnosis Innovation Program, 2-1 </w:t>
      </w:r>
      <w:proofErr w:type="spellStart"/>
      <w:r w:rsidR="009A522A">
        <w:rPr>
          <w:rFonts w:asciiTheme="majorHAnsi" w:hAnsiTheme="majorHAnsi" w:cstheme="majorHAnsi"/>
          <w:sz w:val="20"/>
          <w:szCs w:val="20"/>
        </w:rPr>
        <w:t>Hirosawa</w:t>
      </w:r>
      <w:proofErr w:type="spellEnd"/>
      <w:r w:rsidR="009A522A">
        <w:rPr>
          <w:rFonts w:asciiTheme="majorHAnsi" w:hAnsiTheme="majorHAnsi" w:cstheme="majorHAnsi"/>
          <w:sz w:val="20"/>
          <w:szCs w:val="20"/>
        </w:rPr>
        <w:t xml:space="preserve">, </w:t>
      </w:r>
      <w:r w:rsidR="009A522A" w:rsidRPr="00580CDE">
        <w:rPr>
          <w:rFonts w:asciiTheme="majorHAnsi" w:hAnsiTheme="majorHAnsi" w:cstheme="majorHAnsi"/>
          <w:sz w:val="20"/>
          <w:szCs w:val="20"/>
        </w:rPr>
        <w:t xml:space="preserve">Wako, Saitama, </w:t>
      </w:r>
      <w:r w:rsidR="009A522A" w:rsidRPr="00CC76E0">
        <w:rPr>
          <w:rFonts w:asciiTheme="majorHAnsi" w:hAnsiTheme="majorHAnsi" w:cstheme="majorHAnsi"/>
          <w:sz w:val="20"/>
          <w:szCs w:val="20"/>
        </w:rPr>
        <w:t>351-0198</w:t>
      </w:r>
      <w:r w:rsidR="009A522A">
        <w:rPr>
          <w:rFonts w:asciiTheme="majorHAnsi" w:hAnsiTheme="majorHAnsi" w:cstheme="majorHAnsi"/>
          <w:sz w:val="20"/>
          <w:szCs w:val="20"/>
        </w:rPr>
        <w:t>,</w:t>
      </w:r>
      <w:r w:rsidR="009A522A" w:rsidRPr="00CC76E0">
        <w:rPr>
          <w:rFonts w:asciiTheme="majorHAnsi" w:hAnsiTheme="majorHAnsi" w:cstheme="majorHAnsi"/>
          <w:sz w:val="20"/>
          <w:szCs w:val="20"/>
        </w:rPr>
        <w:t xml:space="preserve"> </w:t>
      </w:r>
      <w:r w:rsidR="009A522A" w:rsidRPr="00580CDE">
        <w:rPr>
          <w:rFonts w:asciiTheme="majorHAnsi" w:hAnsiTheme="majorHAnsi" w:cstheme="majorHAnsi"/>
          <w:sz w:val="20"/>
          <w:szCs w:val="20"/>
        </w:rPr>
        <w:t>Japan</w:t>
      </w:r>
    </w:p>
    <w:p w14:paraId="00F4304C" w14:textId="4FF7A213" w:rsidR="009A522A" w:rsidRPr="00580CDE" w:rsidRDefault="004D2FAD" w:rsidP="009A522A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vertAlign w:val="superscript"/>
        </w:rPr>
        <w:t>4</w:t>
      </w:r>
      <w:r w:rsidR="009A522A" w:rsidRPr="00580CDE">
        <w:rPr>
          <w:rFonts w:asciiTheme="majorHAnsi" w:hAnsiTheme="majorHAnsi" w:cstheme="majorHAnsi"/>
          <w:sz w:val="20"/>
          <w:szCs w:val="20"/>
        </w:rPr>
        <w:t xml:space="preserve">Division of Genomic Technologies, RIKEN Center for Life Science Technologies, </w:t>
      </w:r>
      <w:bookmarkStart w:id="0" w:name="_GoBack"/>
      <w:r w:rsidR="009A522A" w:rsidRPr="00580CDE">
        <w:rPr>
          <w:rFonts w:asciiTheme="majorHAnsi" w:hAnsiTheme="majorHAnsi" w:cstheme="majorHAnsi"/>
          <w:sz w:val="20"/>
          <w:szCs w:val="20"/>
        </w:rPr>
        <w:t>1-7-22</w:t>
      </w:r>
      <w:bookmarkEnd w:id="0"/>
      <w:r w:rsidR="009A522A" w:rsidRPr="00580CDE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A522A" w:rsidRPr="00580CDE">
        <w:rPr>
          <w:rFonts w:asciiTheme="majorHAnsi" w:hAnsiTheme="majorHAnsi" w:cstheme="majorHAnsi"/>
          <w:sz w:val="20"/>
          <w:szCs w:val="20"/>
        </w:rPr>
        <w:t>Suehiro-cho</w:t>
      </w:r>
      <w:proofErr w:type="spellEnd"/>
      <w:r w:rsidR="009A522A" w:rsidRPr="00580CDE">
        <w:rPr>
          <w:rFonts w:asciiTheme="majorHAnsi" w:hAnsiTheme="majorHAnsi" w:cstheme="majorHAnsi"/>
          <w:sz w:val="20"/>
          <w:szCs w:val="20"/>
        </w:rPr>
        <w:t>, Tsurumi-</w:t>
      </w:r>
      <w:proofErr w:type="spellStart"/>
      <w:r w:rsidR="009A522A" w:rsidRPr="00580CDE">
        <w:rPr>
          <w:rFonts w:asciiTheme="majorHAnsi" w:hAnsiTheme="majorHAnsi" w:cstheme="majorHAnsi"/>
          <w:sz w:val="20"/>
          <w:szCs w:val="20"/>
        </w:rPr>
        <w:t>ku</w:t>
      </w:r>
      <w:proofErr w:type="spellEnd"/>
      <w:r w:rsidR="009A522A" w:rsidRPr="00580CDE">
        <w:rPr>
          <w:rFonts w:asciiTheme="majorHAnsi" w:hAnsiTheme="majorHAnsi" w:cstheme="majorHAnsi"/>
          <w:sz w:val="20"/>
          <w:szCs w:val="20"/>
        </w:rPr>
        <w:t>, Yoko</w:t>
      </w:r>
      <w:r w:rsidR="009A522A">
        <w:rPr>
          <w:rFonts w:asciiTheme="majorHAnsi" w:hAnsiTheme="majorHAnsi" w:cstheme="majorHAnsi"/>
          <w:sz w:val="20"/>
          <w:szCs w:val="20"/>
        </w:rPr>
        <w:t>hama, Kanagawa, 230-0045, Japan</w:t>
      </w:r>
    </w:p>
    <w:p w14:paraId="22CF0502" w14:textId="77777777" w:rsidR="004A0A2D" w:rsidRDefault="004A0A2D"/>
    <w:p w14:paraId="1A35B5FB" w14:textId="14527355" w:rsidR="00E575D7" w:rsidRDefault="002E6B50" w:rsidP="004E55C4">
      <w:r w:rsidRPr="002E6B50">
        <w:t xml:space="preserve">Recent progress of technology development </w:t>
      </w:r>
      <w:r w:rsidR="00455DCE">
        <w:t>in</w:t>
      </w:r>
      <w:r w:rsidRPr="002E6B50">
        <w:t xml:space="preserve"> </w:t>
      </w:r>
      <w:r w:rsidR="00824863">
        <w:t xml:space="preserve">high-throughput </w:t>
      </w:r>
      <w:r w:rsidRPr="002E6B50">
        <w:t>sequencing</w:t>
      </w:r>
      <w:r w:rsidR="00824863">
        <w:t>, for example CAGE (Cap Analysis Gene Expression),</w:t>
      </w:r>
      <w:r w:rsidR="00455DCE">
        <w:t xml:space="preserve"> enabled us to identify </w:t>
      </w:r>
      <w:r>
        <w:t>transcription starting sites</w:t>
      </w:r>
      <w:r w:rsidR="00C91EAB">
        <w:t xml:space="preserve"> (TSSs)</w:t>
      </w:r>
      <w:r w:rsidR="00A90B38">
        <w:t xml:space="preserve"> </w:t>
      </w:r>
      <w:r w:rsidR="001C55C0">
        <w:t>and quantify their activities experimentally</w:t>
      </w:r>
      <w:r w:rsidR="00A90B38">
        <w:t xml:space="preserve"> across the genome</w:t>
      </w:r>
      <w:r w:rsidR="001C55C0">
        <w:t xml:space="preserve">. </w:t>
      </w:r>
      <w:r w:rsidR="00DE764A">
        <w:t xml:space="preserve">Given the complexity of transcription (ref: ENCODE </w:t>
      </w:r>
      <w:proofErr w:type="spellStart"/>
      <w:r w:rsidR="00DE764A">
        <w:t>transcriptome</w:t>
      </w:r>
      <w:proofErr w:type="spellEnd"/>
      <w:r w:rsidR="00DE764A">
        <w:t xml:space="preserve">), </w:t>
      </w:r>
      <w:r w:rsidR="00DE764A" w:rsidRPr="007D4361">
        <w:t xml:space="preserve">empirical </w:t>
      </w:r>
      <w:r w:rsidR="00DE764A">
        <w:t xml:space="preserve">annotation of TSSs based on experimental data is an essential baseline to understand transcriptional regulation in individual cells, and </w:t>
      </w:r>
      <w:r w:rsidR="00F27DF0">
        <w:t>investigate</w:t>
      </w:r>
      <w:r w:rsidR="00DE764A">
        <w:t xml:space="preserve"> them in the </w:t>
      </w:r>
      <w:proofErr w:type="spellStart"/>
      <w:r w:rsidR="00DE764A">
        <w:t>transcriptome</w:t>
      </w:r>
      <w:proofErr w:type="spellEnd"/>
      <w:r w:rsidR="00DE764A">
        <w:t xml:space="preserve"> space. </w:t>
      </w:r>
      <w:r w:rsidR="00887685">
        <w:t>In the FANTOM5 project</w:t>
      </w:r>
      <w:r w:rsidR="00D70177">
        <w:t xml:space="preserve"> (</w:t>
      </w:r>
      <w:r w:rsidR="00D70177" w:rsidRPr="00D70177">
        <w:t>Forrest et al. Nature 507, 462–470, 2014</w:t>
      </w:r>
      <w:r w:rsidR="00D70177">
        <w:t>)</w:t>
      </w:r>
      <w:r w:rsidR="00887685">
        <w:t>, we profiled TSS activities more than one thousand mammalian samples including diverse range o</w:t>
      </w:r>
      <w:r w:rsidR="00073266">
        <w:t xml:space="preserve">f primary cells, to </w:t>
      </w:r>
      <w:r w:rsidR="00357758">
        <w:t xml:space="preserve">understand </w:t>
      </w:r>
      <w:proofErr w:type="spellStart"/>
      <w:r w:rsidR="00357758">
        <w:t>transcriptome</w:t>
      </w:r>
      <w:proofErr w:type="spellEnd"/>
      <w:r w:rsidR="00357758">
        <w:t xml:space="preserve"> states encoded in </w:t>
      </w:r>
      <w:r w:rsidR="00626658">
        <w:t>the genomes.</w:t>
      </w:r>
      <w:r w:rsidR="00357758">
        <w:t xml:space="preserve"> </w:t>
      </w:r>
      <w:r w:rsidR="004E77A5">
        <w:t xml:space="preserve">It was a major </w:t>
      </w:r>
      <w:proofErr w:type="gramStart"/>
      <w:r w:rsidR="004E77A5">
        <w:t>chall</w:t>
      </w:r>
      <w:r w:rsidR="00A57CC1">
        <w:t>enge</w:t>
      </w:r>
      <w:proofErr w:type="gramEnd"/>
      <w:r w:rsidR="00A57CC1">
        <w:t xml:space="preserve"> to produce TSS annotations capturing</w:t>
      </w:r>
      <w:r w:rsidR="004E77A5">
        <w:t xml:space="preserve"> all the complexity of transcrip</w:t>
      </w:r>
      <w:r w:rsidR="005A3DF2">
        <w:t xml:space="preserve">tion in such </w:t>
      </w:r>
      <w:r w:rsidR="00A57CC1">
        <w:t>heterogeneous</w:t>
      </w:r>
      <w:r w:rsidR="005A3DF2">
        <w:t xml:space="preserve"> data.</w:t>
      </w:r>
    </w:p>
    <w:p w14:paraId="440FDB37" w14:textId="50A6F43D" w:rsidR="004E55C4" w:rsidRDefault="00E575D7">
      <w:r>
        <w:t>Here we developed</w:t>
      </w:r>
      <w:r w:rsidR="008A55BD">
        <w:t xml:space="preserve"> a new method</w:t>
      </w:r>
      <w:r>
        <w:t xml:space="preserve"> to </w:t>
      </w:r>
      <w:r w:rsidR="004F4A52">
        <w:t xml:space="preserve">identify TSS peaks </w:t>
      </w:r>
      <w:r>
        <w:t>empirically</w:t>
      </w:r>
      <w:r w:rsidR="00357758">
        <w:t xml:space="preserve"> </w:t>
      </w:r>
      <w:r w:rsidR="004F4A52">
        <w:t>from such</w:t>
      </w:r>
      <w:r w:rsidR="008A55BD">
        <w:t xml:space="preserve"> </w:t>
      </w:r>
      <w:r w:rsidR="004F4A52">
        <w:t>diverse range of TSS profiles</w:t>
      </w:r>
      <w:r w:rsidR="001268D9">
        <w:t>.</w:t>
      </w:r>
      <w:r w:rsidR="004F4A52">
        <w:t xml:space="preserve"> </w:t>
      </w:r>
      <w:r w:rsidR="00E257D5">
        <w:t>The method</w:t>
      </w:r>
      <w:r w:rsidR="001268D9">
        <w:t xml:space="preserve"> relies on estimation of underlying TSS profiles</w:t>
      </w:r>
      <w:r w:rsidR="004F4A52">
        <w:t xml:space="preserve"> </w:t>
      </w:r>
      <w:r w:rsidR="0089493A">
        <w:t>by using ICA (i</w:t>
      </w:r>
      <w:r w:rsidR="00E257D5">
        <w:t>ndependent component analysis).</w:t>
      </w:r>
      <w:r w:rsidR="004F4A52">
        <w:t xml:space="preserve"> </w:t>
      </w:r>
      <w:r w:rsidR="00A148A5">
        <w:t xml:space="preserve">The result successfully discriminated proximal TSSs differentially used, </w:t>
      </w:r>
      <w:r w:rsidR="009072B8">
        <w:t xml:space="preserve">while the other approaches failed (Figure 1). </w:t>
      </w:r>
      <w:r w:rsidR="00181392">
        <w:t xml:space="preserve">We found that our approach defines TSS peaks precisely, that is, covering known genes extensively with a quite limited </w:t>
      </w:r>
      <w:r w:rsidR="006F6192">
        <w:t xml:space="preserve">amount of </w:t>
      </w:r>
      <w:r w:rsidR="00181392">
        <w:t>genome coverage (~0.5% of the genome</w:t>
      </w:r>
      <w:r w:rsidR="006F4123">
        <w:t>, Figure 2</w:t>
      </w:r>
      <w:r w:rsidR="00181392">
        <w:t>).</w:t>
      </w:r>
      <w:r w:rsidR="00BC256E">
        <w:t xml:space="preserve"> </w:t>
      </w:r>
      <w:r w:rsidR="00674893">
        <w:t xml:space="preserve">The result was </w:t>
      </w:r>
      <w:r w:rsidR="00C057BF">
        <w:t>used as a baseline to assess composite promoters</w:t>
      </w:r>
      <w:r w:rsidR="007D2BFC">
        <w:t xml:space="preserve"> (</w:t>
      </w:r>
      <w:r w:rsidR="00020525" w:rsidRPr="00D70177">
        <w:t>Forrest et al. Nature 507, 462–470, 2014</w:t>
      </w:r>
      <w:r w:rsidR="00020525">
        <w:t xml:space="preserve">), </w:t>
      </w:r>
      <w:r w:rsidR="00C057BF">
        <w:t xml:space="preserve">and </w:t>
      </w:r>
      <w:r w:rsidR="00020525">
        <w:t xml:space="preserve">we </w:t>
      </w:r>
      <w:r w:rsidR="00C057BF">
        <w:t xml:space="preserve">additionally </w:t>
      </w:r>
      <w:r w:rsidR="00020525">
        <w:t xml:space="preserve">assessed </w:t>
      </w:r>
      <w:r w:rsidR="005B560E">
        <w:t xml:space="preserve">alternative promoters of genes. We found almost a half of the genes have </w:t>
      </w:r>
      <w:r w:rsidR="000B193F">
        <w:t>transcribed from</w:t>
      </w:r>
      <w:r w:rsidR="005B560E">
        <w:t xml:space="preserve"> by multiple </w:t>
      </w:r>
      <w:r w:rsidR="000B193F">
        <w:t xml:space="preserve">TSSs </w:t>
      </w:r>
      <w:r w:rsidR="00730981">
        <w:t xml:space="preserve">differentially activated </w:t>
      </w:r>
      <w:r w:rsidR="00296FEA">
        <w:t xml:space="preserve">(Figure 3). </w:t>
      </w:r>
      <w:r w:rsidR="00B560B8">
        <w:t xml:space="preserve">Further we assessed accuracy of gene model 5’-end, to provide an overview of different gene models. </w:t>
      </w:r>
      <w:r w:rsidR="006633AF">
        <w:t xml:space="preserve">The resulting data represent the most advanced baseline to understand transcription initiation to </w:t>
      </w:r>
      <w:r w:rsidR="0092381C">
        <w:t>understand</w:t>
      </w:r>
      <w:r w:rsidR="006633AF">
        <w:t xml:space="preserve"> complexi</w:t>
      </w:r>
      <w:r w:rsidR="0017381F">
        <w:t xml:space="preserve">ty of transcription initiation. </w:t>
      </w:r>
    </w:p>
    <w:p w14:paraId="13F7F7CA" w14:textId="55D592EF" w:rsidR="00AE6CCF" w:rsidRDefault="00761A40" w:rsidP="00CB3017">
      <w:r>
        <w:br w:type="page"/>
      </w:r>
    </w:p>
    <w:p w14:paraId="41A20AB1" w14:textId="7732B5EB" w:rsidR="007E4D72" w:rsidRDefault="007E4D72" w:rsidP="007921CC">
      <w:pPr>
        <w:jc w:val="center"/>
      </w:pPr>
      <w:r>
        <w:rPr>
          <w:noProof/>
        </w:rPr>
        <w:lastRenderedPageBreak/>
        <w:drawing>
          <wp:inline distT="0" distB="0" distL="0" distR="0" wp14:anchorId="4670B209" wp14:editId="04A4CAAC">
            <wp:extent cx="4155567" cy="2407158"/>
            <wp:effectExtent l="0" t="0" r="1016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567" cy="240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B927C" w14:textId="4E8A7D54" w:rsidR="001843C4" w:rsidRPr="000711D1" w:rsidRDefault="001843C4">
      <w:pPr>
        <w:rPr>
          <w:sz w:val="20"/>
          <w:szCs w:val="20"/>
        </w:rPr>
      </w:pPr>
      <w:r w:rsidRPr="000711D1">
        <w:rPr>
          <w:b/>
          <w:sz w:val="20"/>
          <w:szCs w:val="20"/>
        </w:rPr>
        <w:t xml:space="preserve">Figure 1. </w:t>
      </w:r>
      <w:r w:rsidR="008A3C9A" w:rsidRPr="000711D1">
        <w:rPr>
          <w:b/>
          <w:sz w:val="20"/>
          <w:szCs w:val="20"/>
        </w:rPr>
        <w:t>The peaks identified by existing our methods and existing methods.</w:t>
      </w:r>
      <w:r w:rsidR="00AE6CCF" w:rsidRPr="000711D1">
        <w:rPr>
          <w:sz w:val="20"/>
          <w:szCs w:val="20"/>
        </w:rPr>
        <w:t xml:space="preserve"> </w:t>
      </w:r>
      <w:r w:rsidR="000601A0" w:rsidRPr="000711D1">
        <w:rPr>
          <w:sz w:val="20"/>
          <w:szCs w:val="20"/>
        </w:rPr>
        <w:t xml:space="preserve">5’-end of </w:t>
      </w:r>
      <w:proofErr w:type="spellStart"/>
      <w:r w:rsidR="000601A0" w:rsidRPr="000711D1">
        <w:rPr>
          <w:sz w:val="20"/>
          <w:szCs w:val="20"/>
        </w:rPr>
        <w:t>RefSeq</w:t>
      </w:r>
      <w:proofErr w:type="spellEnd"/>
      <w:r w:rsidR="000601A0" w:rsidRPr="000711D1">
        <w:rPr>
          <w:sz w:val="20"/>
          <w:szCs w:val="20"/>
        </w:rPr>
        <w:t xml:space="preserve"> gene model turned out to be imprecise. </w:t>
      </w:r>
      <w:r w:rsidR="007E4D72">
        <w:rPr>
          <w:sz w:val="20"/>
          <w:szCs w:val="20"/>
        </w:rPr>
        <w:t>Green</w:t>
      </w:r>
      <w:r w:rsidR="00AE6CCF" w:rsidRPr="000711D1">
        <w:rPr>
          <w:sz w:val="20"/>
          <w:szCs w:val="20"/>
        </w:rPr>
        <w:t xml:space="preserve"> and orange arrows indicate differently activated TSSs between</w:t>
      </w:r>
      <w:r w:rsidR="000601A0" w:rsidRPr="000711D1">
        <w:rPr>
          <w:sz w:val="20"/>
          <w:szCs w:val="20"/>
        </w:rPr>
        <w:t xml:space="preserve"> THP-1 cells and </w:t>
      </w:r>
      <w:proofErr w:type="spellStart"/>
      <w:r w:rsidR="000601A0" w:rsidRPr="000711D1">
        <w:rPr>
          <w:sz w:val="20"/>
          <w:szCs w:val="20"/>
        </w:rPr>
        <w:t>HeLa</w:t>
      </w:r>
      <w:proofErr w:type="spellEnd"/>
      <w:r w:rsidR="000601A0" w:rsidRPr="000711D1">
        <w:rPr>
          <w:sz w:val="20"/>
          <w:szCs w:val="20"/>
        </w:rPr>
        <w:t xml:space="preserve"> cells</w:t>
      </w:r>
      <w:r w:rsidR="00935C87" w:rsidRPr="000711D1">
        <w:rPr>
          <w:sz w:val="20"/>
          <w:szCs w:val="20"/>
        </w:rPr>
        <w:t xml:space="preserve">. Our approach successfully discriminate them, while </w:t>
      </w:r>
      <w:r w:rsidR="000601A0" w:rsidRPr="000711D1">
        <w:rPr>
          <w:sz w:val="20"/>
          <w:szCs w:val="20"/>
        </w:rPr>
        <w:t xml:space="preserve">previous approaches failed </w:t>
      </w:r>
    </w:p>
    <w:p w14:paraId="5C60C592" w14:textId="77777777" w:rsidR="001843C4" w:rsidRDefault="001843C4"/>
    <w:p w14:paraId="078866DB" w14:textId="77777777" w:rsidR="001843C4" w:rsidRDefault="001843C4"/>
    <w:p w14:paraId="16DE99DB" w14:textId="5732902A" w:rsidR="001843C4" w:rsidRDefault="001843C4" w:rsidP="005A6433">
      <w:pPr>
        <w:jc w:val="center"/>
      </w:pPr>
      <w:r>
        <w:rPr>
          <w:noProof/>
        </w:rPr>
        <w:drawing>
          <wp:inline distT="0" distB="0" distL="0" distR="0" wp14:anchorId="73F0A53A" wp14:editId="65282FA9">
            <wp:extent cx="3489960" cy="22301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0352" w14:textId="04FF2FCD" w:rsidR="001843C4" w:rsidRPr="008F2BBD" w:rsidRDefault="001843C4">
      <w:pPr>
        <w:rPr>
          <w:sz w:val="20"/>
          <w:szCs w:val="20"/>
        </w:rPr>
      </w:pPr>
      <w:r w:rsidRPr="008F2BBD">
        <w:rPr>
          <w:b/>
          <w:sz w:val="20"/>
          <w:szCs w:val="20"/>
        </w:rPr>
        <w:t>Figure 2</w:t>
      </w:r>
      <w:r w:rsidR="00621F0B" w:rsidRPr="008F2BBD">
        <w:rPr>
          <w:b/>
          <w:sz w:val="20"/>
          <w:szCs w:val="20"/>
        </w:rPr>
        <w:t xml:space="preserve">. </w:t>
      </w:r>
      <w:proofErr w:type="gramStart"/>
      <w:r w:rsidR="00621F0B" w:rsidRPr="008F2BBD">
        <w:rPr>
          <w:b/>
          <w:sz w:val="20"/>
          <w:szCs w:val="20"/>
        </w:rPr>
        <w:t xml:space="preserve">The coverage of </w:t>
      </w:r>
      <w:r w:rsidR="00561033" w:rsidRPr="008F2BBD">
        <w:rPr>
          <w:b/>
          <w:sz w:val="20"/>
          <w:szCs w:val="20"/>
        </w:rPr>
        <w:t>geno</w:t>
      </w:r>
      <w:r w:rsidR="00621F0B" w:rsidRPr="008F2BBD">
        <w:rPr>
          <w:b/>
          <w:sz w:val="20"/>
          <w:szCs w:val="20"/>
        </w:rPr>
        <w:t>mic region and the known genes by different approaches</w:t>
      </w:r>
      <w:r w:rsidR="00621F0B" w:rsidRPr="008F2BBD">
        <w:rPr>
          <w:sz w:val="20"/>
          <w:szCs w:val="20"/>
        </w:rPr>
        <w:t>.</w:t>
      </w:r>
      <w:proofErr w:type="gramEnd"/>
      <w:r w:rsidR="00621F0B" w:rsidRPr="008F2BBD">
        <w:rPr>
          <w:sz w:val="20"/>
          <w:szCs w:val="20"/>
        </w:rPr>
        <w:t xml:space="preserve"> </w:t>
      </w:r>
      <w:r w:rsidR="008F2BBD">
        <w:rPr>
          <w:sz w:val="20"/>
          <w:szCs w:val="20"/>
        </w:rPr>
        <w:t xml:space="preserve">   </w:t>
      </w:r>
      <w:proofErr w:type="gramStart"/>
      <w:r w:rsidR="003C2D96" w:rsidRPr="008F2BBD">
        <w:rPr>
          <w:sz w:val="20"/>
          <w:szCs w:val="20"/>
        </w:rPr>
        <w:t>X axis</w:t>
      </w:r>
      <w:proofErr w:type="gramEnd"/>
      <w:r w:rsidR="003C2D96" w:rsidRPr="008F2BBD">
        <w:rPr>
          <w:sz w:val="20"/>
          <w:szCs w:val="20"/>
        </w:rPr>
        <w:t xml:space="preserve"> indicate</w:t>
      </w:r>
      <w:r w:rsidR="00D34025" w:rsidRPr="008F2BBD">
        <w:rPr>
          <w:sz w:val="20"/>
          <w:szCs w:val="20"/>
        </w:rPr>
        <w:t>s</w:t>
      </w:r>
      <w:r w:rsidR="003C2D96" w:rsidRPr="008F2BBD">
        <w:rPr>
          <w:sz w:val="20"/>
          <w:szCs w:val="20"/>
        </w:rPr>
        <w:t xml:space="preserve"> genome coverage, that is, t</w:t>
      </w:r>
      <w:r w:rsidR="00D34025" w:rsidRPr="008F2BBD">
        <w:rPr>
          <w:sz w:val="20"/>
          <w:szCs w:val="20"/>
        </w:rPr>
        <w:t>he total length of the peaks across the genome</w:t>
      </w:r>
      <w:r w:rsidR="005A560B" w:rsidRPr="008F2BBD">
        <w:rPr>
          <w:sz w:val="20"/>
          <w:szCs w:val="20"/>
        </w:rPr>
        <w:t xml:space="preserve">. </w:t>
      </w:r>
      <w:proofErr w:type="gramStart"/>
      <w:r w:rsidR="005A560B" w:rsidRPr="008F2BBD">
        <w:rPr>
          <w:sz w:val="20"/>
          <w:szCs w:val="20"/>
        </w:rPr>
        <w:t>Y axis</w:t>
      </w:r>
      <w:proofErr w:type="gramEnd"/>
      <w:r w:rsidR="005A560B" w:rsidRPr="008F2BBD">
        <w:rPr>
          <w:sz w:val="20"/>
          <w:szCs w:val="20"/>
        </w:rPr>
        <w:t xml:space="preserve"> indicates the number of genes found.</w:t>
      </w:r>
      <w:r w:rsidR="00022E50" w:rsidRPr="008F2BBD">
        <w:rPr>
          <w:sz w:val="20"/>
          <w:szCs w:val="20"/>
        </w:rPr>
        <w:t xml:space="preserve"> DPI </w:t>
      </w:r>
      <w:proofErr w:type="gramStart"/>
      <w:r w:rsidR="00022E50" w:rsidRPr="008F2BBD">
        <w:rPr>
          <w:sz w:val="20"/>
          <w:szCs w:val="20"/>
        </w:rPr>
        <w:t>represent</w:t>
      </w:r>
      <w:proofErr w:type="gramEnd"/>
      <w:r w:rsidR="00022E50" w:rsidRPr="008F2BBD">
        <w:rPr>
          <w:sz w:val="20"/>
          <w:szCs w:val="20"/>
        </w:rPr>
        <w:t xml:space="preserve"> our approach with several parameters. </w:t>
      </w:r>
      <w:proofErr w:type="spellStart"/>
      <w:r w:rsidR="00022E50" w:rsidRPr="008F2BBD">
        <w:rPr>
          <w:sz w:val="20"/>
          <w:szCs w:val="20"/>
        </w:rPr>
        <w:t>Paraclu</w:t>
      </w:r>
      <w:proofErr w:type="spellEnd"/>
      <w:r w:rsidR="00022E50" w:rsidRPr="008F2BBD">
        <w:rPr>
          <w:sz w:val="20"/>
          <w:szCs w:val="20"/>
        </w:rPr>
        <w:t xml:space="preserve"> is the method published before (</w:t>
      </w:r>
      <w:proofErr w:type="spellStart"/>
      <w:r w:rsidR="00022E50" w:rsidRPr="008F2BBD">
        <w:rPr>
          <w:sz w:val="20"/>
          <w:szCs w:val="20"/>
        </w:rPr>
        <w:t>Frith</w:t>
      </w:r>
      <w:proofErr w:type="spellEnd"/>
      <w:r w:rsidR="00022E50" w:rsidRPr="008F2BBD">
        <w:rPr>
          <w:sz w:val="20"/>
          <w:szCs w:val="20"/>
        </w:rPr>
        <w:t xml:space="preserve"> et al. </w:t>
      </w:r>
      <w:r w:rsidR="007625AF">
        <w:rPr>
          <w:sz w:val="20"/>
          <w:szCs w:val="20"/>
        </w:rPr>
        <w:t>Genome Res.</w:t>
      </w:r>
      <w:r w:rsidR="007625AF" w:rsidRPr="007625AF">
        <w:rPr>
          <w:sz w:val="20"/>
          <w:szCs w:val="20"/>
        </w:rPr>
        <w:t xml:space="preserve"> </w:t>
      </w:r>
      <w:r w:rsidR="00E40787">
        <w:rPr>
          <w:sz w:val="20"/>
          <w:szCs w:val="20"/>
        </w:rPr>
        <w:t>18</w:t>
      </w:r>
      <w:r w:rsidR="00321397">
        <w:rPr>
          <w:sz w:val="20"/>
          <w:szCs w:val="20"/>
        </w:rPr>
        <w:t xml:space="preserve">, </w:t>
      </w:r>
      <w:r w:rsidR="00E40787">
        <w:rPr>
          <w:sz w:val="20"/>
          <w:szCs w:val="20"/>
        </w:rPr>
        <w:t xml:space="preserve">1-12, </w:t>
      </w:r>
      <w:r w:rsidR="00E40787" w:rsidRPr="007625AF">
        <w:rPr>
          <w:sz w:val="20"/>
          <w:szCs w:val="20"/>
        </w:rPr>
        <w:t>2008</w:t>
      </w:r>
      <w:r w:rsidR="00022E50" w:rsidRPr="008F2BBD">
        <w:rPr>
          <w:sz w:val="20"/>
          <w:szCs w:val="20"/>
        </w:rPr>
        <w:t xml:space="preserve">), TC </w:t>
      </w:r>
      <w:proofErr w:type="gramStart"/>
      <w:r w:rsidR="00022E50" w:rsidRPr="008F2BBD">
        <w:rPr>
          <w:sz w:val="20"/>
          <w:szCs w:val="20"/>
        </w:rPr>
        <w:t>represent</w:t>
      </w:r>
      <w:proofErr w:type="gramEnd"/>
      <w:r w:rsidR="00022E50" w:rsidRPr="008F2BBD">
        <w:rPr>
          <w:sz w:val="20"/>
          <w:szCs w:val="20"/>
        </w:rPr>
        <w:t xml:space="preserve"> tag clustering (</w:t>
      </w:r>
      <w:proofErr w:type="spellStart"/>
      <w:r w:rsidR="00022E50" w:rsidRPr="008F2BBD">
        <w:rPr>
          <w:sz w:val="20"/>
          <w:szCs w:val="20"/>
        </w:rPr>
        <w:t>Carninci</w:t>
      </w:r>
      <w:proofErr w:type="spellEnd"/>
      <w:r w:rsidR="00022E50" w:rsidRPr="008F2BBD">
        <w:rPr>
          <w:sz w:val="20"/>
          <w:szCs w:val="20"/>
        </w:rPr>
        <w:t xml:space="preserve"> et al.</w:t>
      </w:r>
      <w:r w:rsidR="002741D2">
        <w:rPr>
          <w:sz w:val="20"/>
          <w:szCs w:val="20"/>
        </w:rPr>
        <w:t xml:space="preserve"> </w:t>
      </w:r>
      <w:r w:rsidR="002741D2" w:rsidRPr="002741D2">
        <w:rPr>
          <w:sz w:val="20"/>
          <w:szCs w:val="20"/>
        </w:rPr>
        <w:t>Natu</w:t>
      </w:r>
      <w:r w:rsidR="002741D2">
        <w:rPr>
          <w:sz w:val="20"/>
          <w:szCs w:val="20"/>
        </w:rPr>
        <w:t>re Genetics 38, 626-635, 2006</w:t>
      </w:r>
      <w:r w:rsidR="00022E50" w:rsidRPr="008F2BBD">
        <w:rPr>
          <w:sz w:val="20"/>
          <w:szCs w:val="20"/>
        </w:rPr>
        <w:t xml:space="preserve">), and </w:t>
      </w:r>
      <w:proofErr w:type="spellStart"/>
      <w:r w:rsidR="00022E50" w:rsidRPr="008F2BBD">
        <w:rPr>
          <w:sz w:val="20"/>
          <w:szCs w:val="20"/>
        </w:rPr>
        <w:t>refseq</w:t>
      </w:r>
      <w:proofErr w:type="spellEnd"/>
      <w:r w:rsidR="00022E50" w:rsidRPr="008F2BBD">
        <w:rPr>
          <w:sz w:val="20"/>
          <w:szCs w:val="20"/>
        </w:rPr>
        <w:t xml:space="preserve"> indicates +/-500bp region from the 5’-end of </w:t>
      </w:r>
      <w:proofErr w:type="spellStart"/>
      <w:r w:rsidR="00022E50" w:rsidRPr="008F2BBD">
        <w:rPr>
          <w:sz w:val="20"/>
          <w:szCs w:val="20"/>
        </w:rPr>
        <w:t>refseq</w:t>
      </w:r>
      <w:proofErr w:type="spellEnd"/>
      <w:r w:rsidR="00022E50" w:rsidRPr="008F2BBD">
        <w:rPr>
          <w:sz w:val="20"/>
          <w:szCs w:val="20"/>
        </w:rPr>
        <w:t xml:space="preserve"> gene models.</w:t>
      </w:r>
      <w:r w:rsidR="00A349DA" w:rsidRPr="008F2BBD">
        <w:rPr>
          <w:sz w:val="20"/>
          <w:szCs w:val="20"/>
        </w:rPr>
        <w:t xml:space="preserve"> The result underline that our approach cover nearly the largest number of genes with a smaller coverage of the genome. </w:t>
      </w:r>
    </w:p>
    <w:p w14:paraId="28A74A97" w14:textId="77777777" w:rsidR="001843C4" w:rsidRDefault="001843C4"/>
    <w:p w14:paraId="5B1F8CFE" w14:textId="77777777" w:rsidR="001843C4" w:rsidRDefault="001843C4"/>
    <w:p w14:paraId="6470E3EF" w14:textId="458B47F5" w:rsidR="001843C4" w:rsidRDefault="001843C4" w:rsidP="005A6433">
      <w:pPr>
        <w:jc w:val="center"/>
      </w:pPr>
      <w:r>
        <w:rPr>
          <w:noProof/>
        </w:rPr>
        <w:drawing>
          <wp:inline distT="0" distB="0" distL="0" distR="0" wp14:anchorId="584A8C3C" wp14:editId="32C2D9C2">
            <wp:extent cx="3514725" cy="164541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4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0254D" w14:textId="5A01B7CC" w:rsidR="004E55C4" w:rsidRPr="00533D10" w:rsidRDefault="001843C4">
      <w:pPr>
        <w:rPr>
          <w:b/>
          <w:sz w:val="20"/>
          <w:szCs w:val="20"/>
        </w:rPr>
      </w:pPr>
      <w:r w:rsidRPr="00533D10">
        <w:rPr>
          <w:b/>
          <w:sz w:val="20"/>
          <w:szCs w:val="20"/>
        </w:rPr>
        <w:t xml:space="preserve">Figure 3. </w:t>
      </w:r>
      <w:proofErr w:type="gramStart"/>
      <w:r w:rsidR="00073186">
        <w:rPr>
          <w:b/>
          <w:sz w:val="20"/>
          <w:szCs w:val="20"/>
        </w:rPr>
        <w:t>G</w:t>
      </w:r>
      <w:r w:rsidR="00645D9A">
        <w:rPr>
          <w:b/>
          <w:sz w:val="20"/>
          <w:szCs w:val="20"/>
        </w:rPr>
        <w:t xml:space="preserve">enes </w:t>
      </w:r>
      <w:r w:rsidR="00073186">
        <w:rPr>
          <w:b/>
          <w:sz w:val="20"/>
          <w:szCs w:val="20"/>
        </w:rPr>
        <w:t>with</w:t>
      </w:r>
      <w:r w:rsidR="00645D9A">
        <w:rPr>
          <w:b/>
          <w:sz w:val="20"/>
          <w:szCs w:val="20"/>
        </w:rPr>
        <w:t xml:space="preserve"> TSS peaks</w:t>
      </w:r>
      <w:r w:rsidR="00533D10" w:rsidRPr="00533D10">
        <w:rPr>
          <w:b/>
          <w:sz w:val="20"/>
          <w:szCs w:val="20"/>
        </w:rPr>
        <w:t xml:space="preserve"> </w:t>
      </w:r>
      <w:r w:rsidR="00BC19D6">
        <w:rPr>
          <w:b/>
          <w:sz w:val="20"/>
          <w:szCs w:val="20"/>
        </w:rPr>
        <w:t>under</w:t>
      </w:r>
      <w:r w:rsidR="00533D10" w:rsidRPr="00533D10">
        <w:rPr>
          <w:b/>
          <w:sz w:val="20"/>
          <w:szCs w:val="20"/>
        </w:rPr>
        <w:t xml:space="preserve"> different regulation.</w:t>
      </w:r>
      <w:proofErr w:type="gramEnd"/>
      <w:r w:rsidR="00533D10" w:rsidRPr="00533D10">
        <w:rPr>
          <w:b/>
          <w:sz w:val="20"/>
          <w:szCs w:val="20"/>
        </w:rPr>
        <w:t xml:space="preserve"> </w:t>
      </w:r>
    </w:p>
    <w:sectPr w:rsidR="004E55C4" w:rsidRPr="00533D10" w:rsidSect="008F16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50"/>
    <w:rsid w:val="00020525"/>
    <w:rsid w:val="00022E50"/>
    <w:rsid w:val="000601A0"/>
    <w:rsid w:val="000711D1"/>
    <w:rsid w:val="00073186"/>
    <w:rsid w:val="00073266"/>
    <w:rsid w:val="000B193F"/>
    <w:rsid w:val="000B668D"/>
    <w:rsid w:val="000F7833"/>
    <w:rsid w:val="00113CEF"/>
    <w:rsid w:val="001268D9"/>
    <w:rsid w:val="00135B82"/>
    <w:rsid w:val="0017381F"/>
    <w:rsid w:val="00181392"/>
    <w:rsid w:val="001843C4"/>
    <w:rsid w:val="001C55C0"/>
    <w:rsid w:val="001E464B"/>
    <w:rsid w:val="00217C45"/>
    <w:rsid w:val="002438E6"/>
    <w:rsid w:val="00274014"/>
    <w:rsid w:val="002741D2"/>
    <w:rsid w:val="00296FEA"/>
    <w:rsid w:val="002D363A"/>
    <w:rsid w:val="002E6B50"/>
    <w:rsid w:val="00321397"/>
    <w:rsid w:val="00334C3A"/>
    <w:rsid w:val="00357758"/>
    <w:rsid w:val="0038774D"/>
    <w:rsid w:val="00393D5F"/>
    <w:rsid w:val="003C2D96"/>
    <w:rsid w:val="00443339"/>
    <w:rsid w:val="00455DCE"/>
    <w:rsid w:val="00487C0D"/>
    <w:rsid w:val="004A0A2D"/>
    <w:rsid w:val="004A53E6"/>
    <w:rsid w:val="004D2FAD"/>
    <w:rsid w:val="004E48BE"/>
    <w:rsid w:val="004E55C4"/>
    <w:rsid w:val="004E77A5"/>
    <w:rsid w:val="004F4A52"/>
    <w:rsid w:val="00533D10"/>
    <w:rsid w:val="00536D98"/>
    <w:rsid w:val="00561033"/>
    <w:rsid w:val="00562963"/>
    <w:rsid w:val="00596B33"/>
    <w:rsid w:val="005A3DF2"/>
    <w:rsid w:val="005A560B"/>
    <w:rsid w:val="005A6433"/>
    <w:rsid w:val="005B560E"/>
    <w:rsid w:val="00621F0B"/>
    <w:rsid w:val="00626658"/>
    <w:rsid w:val="00645D9A"/>
    <w:rsid w:val="006633AF"/>
    <w:rsid w:val="00674893"/>
    <w:rsid w:val="006F4123"/>
    <w:rsid w:val="006F6192"/>
    <w:rsid w:val="00721C99"/>
    <w:rsid w:val="00730981"/>
    <w:rsid w:val="0073707D"/>
    <w:rsid w:val="00761A40"/>
    <w:rsid w:val="007625AF"/>
    <w:rsid w:val="007733C4"/>
    <w:rsid w:val="007921CC"/>
    <w:rsid w:val="007B0E36"/>
    <w:rsid w:val="007D2BFC"/>
    <w:rsid w:val="007D4361"/>
    <w:rsid w:val="007E4D72"/>
    <w:rsid w:val="007F4095"/>
    <w:rsid w:val="00824863"/>
    <w:rsid w:val="00824A40"/>
    <w:rsid w:val="008360C7"/>
    <w:rsid w:val="00876E68"/>
    <w:rsid w:val="00887685"/>
    <w:rsid w:val="0089276D"/>
    <w:rsid w:val="0089493A"/>
    <w:rsid w:val="00895A88"/>
    <w:rsid w:val="008A3C9A"/>
    <w:rsid w:val="008A55BD"/>
    <w:rsid w:val="008B7619"/>
    <w:rsid w:val="008F16A0"/>
    <w:rsid w:val="008F2BBD"/>
    <w:rsid w:val="009072B8"/>
    <w:rsid w:val="0092381C"/>
    <w:rsid w:val="00935C87"/>
    <w:rsid w:val="009A522A"/>
    <w:rsid w:val="00A029C1"/>
    <w:rsid w:val="00A148A5"/>
    <w:rsid w:val="00A349DA"/>
    <w:rsid w:val="00A57CC1"/>
    <w:rsid w:val="00A644F0"/>
    <w:rsid w:val="00A90B38"/>
    <w:rsid w:val="00A94153"/>
    <w:rsid w:val="00AE6CCF"/>
    <w:rsid w:val="00B01F73"/>
    <w:rsid w:val="00B40F11"/>
    <w:rsid w:val="00B560B8"/>
    <w:rsid w:val="00B868EE"/>
    <w:rsid w:val="00B971FC"/>
    <w:rsid w:val="00BC19D6"/>
    <w:rsid w:val="00BC256E"/>
    <w:rsid w:val="00BE33F3"/>
    <w:rsid w:val="00C057BF"/>
    <w:rsid w:val="00C91EAB"/>
    <w:rsid w:val="00CB3017"/>
    <w:rsid w:val="00D34025"/>
    <w:rsid w:val="00D70177"/>
    <w:rsid w:val="00D8426C"/>
    <w:rsid w:val="00DD7D06"/>
    <w:rsid w:val="00DE764A"/>
    <w:rsid w:val="00E257D5"/>
    <w:rsid w:val="00E33470"/>
    <w:rsid w:val="00E40787"/>
    <w:rsid w:val="00E575D7"/>
    <w:rsid w:val="00EC2A7C"/>
    <w:rsid w:val="00F27264"/>
    <w:rsid w:val="00F27DF0"/>
    <w:rsid w:val="00F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BD17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3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C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8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8E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3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C4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4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8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38E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545</Words>
  <Characters>3111</Characters>
  <Application>Microsoft Macintosh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hideya kawaji</dc:creator>
  <cp:keywords/>
  <dc:description/>
  <cp:lastModifiedBy>hideya kawaji</cp:lastModifiedBy>
  <cp:revision>105</cp:revision>
  <dcterms:created xsi:type="dcterms:W3CDTF">2014-05-01T01:15:00Z</dcterms:created>
  <dcterms:modified xsi:type="dcterms:W3CDTF">2014-05-01T08:33:00Z</dcterms:modified>
</cp:coreProperties>
</file>