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FFE" w:rsidRDefault="002B07ED" w:rsidP="002B07ED">
      <w:pPr>
        <w:pStyle w:val="Heading3"/>
      </w:pPr>
      <w:proofErr w:type="spellStart"/>
      <w:r>
        <w:t>Coexpression</w:t>
      </w:r>
      <w:proofErr w:type="spellEnd"/>
      <w:r>
        <w:t xml:space="preserve"> </w:t>
      </w:r>
      <w:proofErr w:type="spellStart"/>
      <w:r w:rsidR="00EE3825">
        <w:t>anlaysis</w:t>
      </w:r>
      <w:proofErr w:type="spellEnd"/>
      <w:r w:rsidR="009D3BAF">
        <w:t xml:space="preserve"> and pathway annotation</w:t>
      </w:r>
    </w:p>
    <w:p w:rsidR="00161DEB" w:rsidRDefault="00E037D6" w:rsidP="00E037D6">
      <w:r>
        <w:t xml:space="preserve">We applied established </w:t>
      </w:r>
      <w:proofErr w:type="spellStart"/>
      <w:r>
        <w:t>coexpression</w:t>
      </w:r>
      <w:proofErr w:type="spellEnd"/>
      <w:r>
        <w:t xml:space="preserve"> analysis methods</w:t>
      </w:r>
      <w:r w:rsidR="002C5935">
        <w:fldChar w:fldCharType="begin"/>
      </w:r>
      <w:r w:rsidR="002C5935">
        <w:instrText xml:space="preserve"> ADDIN ZOTERO_ITEM CSL_CITATION {"citationID":"p7goq62ir","properties":{"formattedCitation":"{\\rtf \\super 1\\nosupersub{}}","plainCitation":"1"},"citationItems":[{"id":471,"uris":["http://zotero.org/users/16472/items/HSZ27NT8"],"uri":["http://zotero.org/users/16472/items/HSZ27NT8"],"itemData":{"id":471,"type":"article-journal","title":"Functional clustering and lineage markers: insights into cellular differentiation and gene function from large-scale microarray studies of purified primary cell populations","container-title":"Genomics","page":"328-338","volume":"95","issue":"6","abstract":"Very large microarray datasets showing gene expression across multiple tissues and cell populations provide a window on the transcriptional networks that underpin the differences in functional activity between biological systems. Clusters of co-expressed genes provide lineage markers, candidate regulators of cell function and, by applying the principle of guilt by association, candidate functions for genes of currently unknown function. We have analysed a dataset comprising pure cell populations from hemopoietic and non-hemopoietic cell types (http://biogps.gnf.org). Using a novel network visualisation and clustering approach, we demonstrate that it is possible to identify very tight expression signatures associated specifically with embryonic stem cells, mesenchymal cells and hematopoietic lineages. Selected examples validate the prediction that gene function can be inferred by co-expression. One expression cluster was enriched in phagocytes, which, alongside endosome-lysosome constituents, contains genes that may make up a 'pathway' for phagocyte differentiation. Promoters of these genes are enriched for binding sites for the ETS/PU.1 and MITF families. Another cluster was associated with the production of a specific extracellular matrix, with high levels of gene expression shared by cells of mesenchymal origin (fibroblasts, adipocytes, osteoblasts and myoblasts). We discuss the limitations placed upon such data by the presence of alternative promoters with distinct tissue specificity within many protein-coding genes.","DOI":"10.1016/j.ygeno.2010.03.002","note":"PMID: 20211243","shortTitle":"Functional clustering and lineage markers","journalAbbreviation":"Genomics","author":[{"family":"Hume","given":"David A"},{"family":"Summers","given":"Kim M"},{"family":"Raza","given":"Sobia"},{"family":"Baillie","given":"J Kenneth"},{"family":"Freeman","given":"Thomas C"}],"issued":{"year":2010,"month":6},"accessed":{"year":2010,"month":8,"day":9}}}],"schema":"https://github.com/citation-style-language/schema/raw/master/csl-citation.json"} </w:instrText>
      </w:r>
      <w:r w:rsidR="002C5935">
        <w:fldChar w:fldCharType="separate"/>
      </w:r>
      <w:r w:rsidR="002C5935" w:rsidRPr="002C5935">
        <w:rPr>
          <w:rFonts w:ascii="Calibri" w:hAnsi="Calibri" w:cs="Times New Roman"/>
          <w:szCs w:val="24"/>
          <w:vertAlign w:val="superscript"/>
        </w:rPr>
        <w:t>1</w:t>
      </w:r>
      <w:r w:rsidR="002C5935">
        <w:fldChar w:fldCharType="end"/>
      </w:r>
      <w:r>
        <w:t xml:space="preserve"> to group promoters </w:t>
      </w:r>
      <w:r w:rsidR="007977B4">
        <w:t>that share</w:t>
      </w:r>
      <w:r>
        <w:t xml:space="preserve"> similar expressi</w:t>
      </w:r>
      <w:r w:rsidR="00EE684F">
        <w:t xml:space="preserve">on profiles across all </w:t>
      </w:r>
      <w:r w:rsidR="007977B4">
        <w:t>samples</w:t>
      </w:r>
      <w:r w:rsidR="00EE684F">
        <w:t>, enabling additional insights into the biology of annotated genes, and inferences about the possible role of the 90,000</w:t>
      </w:r>
      <w:r w:rsidR="00D4663A">
        <w:t>[x]</w:t>
      </w:r>
      <w:r w:rsidR="00EE684F">
        <w:t xml:space="preserve"> TSS clusters whose function is not apparent from genomic location alone. </w:t>
      </w:r>
    </w:p>
    <w:p w:rsidR="00C31D16" w:rsidRDefault="00EE3825">
      <w:r>
        <w:t>124,090 promoters were allocated to</w:t>
      </w:r>
      <w:r w:rsidR="00161DEB">
        <w:t xml:space="preserve"> </w:t>
      </w:r>
      <w:r w:rsidR="00DD3B4E">
        <w:t>4882</w:t>
      </w:r>
      <w:r>
        <w:t xml:space="preserve"> </w:t>
      </w:r>
      <w:proofErr w:type="spellStart"/>
      <w:r>
        <w:t>coexpression</w:t>
      </w:r>
      <w:proofErr w:type="spellEnd"/>
      <w:r>
        <w:t xml:space="preserve"> groups with Pearson r &gt; 0.75 and </w:t>
      </w:r>
      <w:proofErr w:type="spellStart"/>
      <w:r>
        <w:t>MCLi</w:t>
      </w:r>
      <w:proofErr w:type="spellEnd"/>
      <w:r>
        <w:t xml:space="preserve"> = 2.2 (</w:t>
      </w:r>
      <w:r w:rsidR="009F7C1A">
        <w:t xml:space="preserve">Figure JKB_1, </w:t>
      </w:r>
      <w:r>
        <w:t xml:space="preserve">see Supplementary Methods). </w:t>
      </w:r>
      <w:r w:rsidR="008A4068">
        <w:t xml:space="preserve">In order to evaluate and annotate these </w:t>
      </w:r>
      <w:proofErr w:type="spellStart"/>
      <w:r w:rsidR="008A4068">
        <w:t>coexpressed</w:t>
      </w:r>
      <w:proofErr w:type="spellEnd"/>
      <w:r w:rsidR="008A4068">
        <w:t xml:space="preserve"> groups, we tested for enrichment in a curated database</w:t>
      </w:r>
      <w:r w:rsidR="0046022A">
        <w:t xml:space="preserve"> of 633</w:t>
      </w:r>
      <w:r w:rsidR="00492A3F">
        <w:t xml:space="preserve"> biological pathways [ref]</w:t>
      </w:r>
      <w:r w:rsidR="0046022A">
        <w:t>)(including 227</w:t>
      </w:r>
      <w:r w:rsidR="008A4068">
        <w:t xml:space="preserve"> KEGG pathways</w:t>
      </w:r>
      <w:r w:rsidR="008A4068">
        <w:fldChar w:fldCharType="begin"/>
      </w:r>
      <w:r w:rsidR="002C5935">
        <w:instrText xml:space="preserve"> ADDIN ZOTERO_ITEM CSL_CITATION {"citationID":"1vii0ohcmv","properties":{"formattedCitation":"{\\rtf \\super 2\\nosupersub{}}","plainCitation":"2"},"citationItems":[{"id":648,"uris":["http://zotero.org/users/16472/items/PQ3Z99QH"],"uri":["http://zotero.org/users/16472/items/PQ3Z99QH"],"itemData":{"id":648,"type":"article-journal","title":"KEGG: kyoto encyclopedia of genes and genomes","container-title":"Nucleic Acids Research","page":"27-30","volume":"28","issue":"1","abstract":"KEGG (Kyoto Encyclopedia of Genes and Genomes) is a knowledge base for systematic analysis of gene functions, linking genomic information with higher order functional information. The genomic information is stored in the GENES database, which is a collection of gene catalogs for all the completely sequenced genomes and some partial genomes with up-to-date annotation of gene functions. The higher order functional information is stored in the PATHWAY database, which contains graphical representations of cellular processes, such as metabolism, membrane transport, signal transduction and cell cycle. The PATHWAY database is supplemented by a set of ortholog group tables for the information about conserved subpathways (pathway motifs), which are often encoded by positionally coupled genes on the chromosome and which are especially useful in predicting gene functions. A third database in KEGG is LIGAND for the information about chemical compounds, enzyme molecules and enzymatic reactions. KEGG provides Java graphics tools for browsing genome maps, comparing two genome maps and manipulating expression maps, as well as computational tools for sequence comparison, graph comparison and path computation. The KEGG databases are daily updated and made freely available (http://www. genome.ad.jp/kegg/).","note":"PMID: 10592173","shortTitle":"KEGG","journalAbbreviation":"Nucleic Acids Res","author":[{"family":"Kanehisa","given":"M"},{"family":"Goto","given":"S"}],"issued":{"year":2000,"month":1,"day":1},"accessed":{"year":2010,"month":9,"day":5}}}],"schema":"https://github.com/citation-style-language/schema/raw/master/csl-citation.json"} </w:instrText>
      </w:r>
      <w:r w:rsidR="008A4068">
        <w:fldChar w:fldCharType="separate"/>
      </w:r>
      <w:r w:rsidR="002C5935" w:rsidRPr="002C5935">
        <w:rPr>
          <w:rFonts w:ascii="Calibri" w:hAnsi="Calibri" w:cs="Times New Roman"/>
          <w:szCs w:val="24"/>
          <w:vertAlign w:val="superscript"/>
        </w:rPr>
        <w:t>2</w:t>
      </w:r>
      <w:r w:rsidR="008A4068">
        <w:fldChar w:fldCharType="end"/>
      </w:r>
      <w:r w:rsidR="0046022A">
        <w:t>). Of these, 500 pathways (195</w:t>
      </w:r>
      <w:r w:rsidR="008A4068">
        <w:t xml:space="preserve"> KEGG) were significantly enriched in at least one </w:t>
      </w:r>
      <w:proofErr w:type="spellStart"/>
      <w:r w:rsidR="008A4068">
        <w:t>coexpression</w:t>
      </w:r>
      <w:proofErr w:type="spellEnd"/>
      <w:r w:rsidR="008A4068">
        <w:t xml:space="preserve"> group (FDR&lt;0.05). </w:t>
      </w:r>
    </w:p>
    <w:p w:rsidR="00E037D6" w:rsidRDefault="008A4068">
      <w:r>
        <w:t>Among these, the KEGG pathway for influenza A pathogenesis (hsa</w:t>
      </w:r>
      <w:proofErr w:type="gramStart"/>
      <w:r>
        <w:t>:05164</w:t>
      </w:r>
      <w:proofErr w:type="gramEnd"/>
      <w:r>
        <w:t xml:space="preserve">) is strikingly over-represented in one small </w:t>
      </w:r>
      <w:proofErr w:type="spellStart"/>
      <w:r w:rsidR="00DD3B4E">
        <w:t>coexpression</w:t>
      </w:r>
      <w:proofErr w:type="spellEnd"/>
      <w:r w:rsidR="00DD3B4E">
        <w:t xml:space="preserve"> </w:t>
      </w:r>
      <w:r>
        <w:t xml:space="preserve">group in particular (C413, </w:t>
      </w:r>
      <w:r w:rsidR="003A300E">
        <w:t>FDR=2x10</w:t>
      </w:r>
      <w:r w:rsidR="003A300E" w:rsidRPr="003A300E">
        <w:rPr>
          <w:vertAlign w:val="superscript"/>
        </w:rPr>
        <w:t>-11</w:t>
      </w:r>
      <w:r w:rsidR="003A300E">
        <w:t>).</w:t>
      </w:r>
      <w:r>
        <w:t xml:space="preserve"> Of 19 promoters in </w:t>
      </w:r>
      <w:r w:rsidR="009F7C1A">
        <w:t xml:space="preserve">this </w:t>
      </w:r>
      <w:proofErr w:type="spellStart"/>
      <w:r>
        <w:t>coexpression</w:t>
      </w:r>
      <w:proofErr w:type="spellEnd"/>
      <w:r>
        <w:t xml:space="preserve"> group, 8 are present in the KEGG pathway</w:t>
      </w:r>
      <w:r w:rsidR="00373D88">
        <w:t>, including RIG-I (DDX58), the</w:t>
      </w:r>
      <w:r w:rsidR="009F7C1A">
        <w:t xml:space="preserve"> canonical</w:t>
      </w:r>
      <w:r w:rsidR="00373D88">
        <w:t xml:space="preserve"> receptor for mito</w:t>
      </w:r>
      <w:r w:rsidR="00731FA5">
        <w:t>chondrial antiviral signalling</w:t>
      </w:r>
      <w:r w:rsidR="00373D88">
        <w:fldChar w:fldCharType="begin"/>
      </w:r>
      <w:r w:rsidR="00373D88">
        <w:instrText xml:space="preserve"> ADDIN ZOTERO_ITEM CSL_CITATION {"citationID":"1d4kg7gfl6","properties":{"formattedCitation":"{\\rtf \\super 3\\nosupersub{}}","plainCitation":"3"},"citationItems":[{"id":2512,"uris":["http://zotero.org/users/16472/items/SHPC2BHF"],"uri":["http://zotero.org/users/16472/items/SHPC2BHF"],"itemData":{"id":2512,"type":"article-journal","title":"The RNA helicase RIG-I has an essential function in double-stranded RNA-induced innate antiviral responses","container-title":"Nature Immunology","page":"730-737","volume":"5","issue":"7","DOI":"10.1038/ni1087","language":"en","author":[{"family":"Yoneyama","given":"Mitsutoshi"},{"family":"Kikuchi","given":"Mika"},{"family":"Natsukawa","given":"Takashi"},{"family":"Shinobu","given":"Noriaki"},{"family":"Imaizumi","given":"Tadaatsu"},{"family":"Miyagishi","given":"Makoto"},{"family":"Taira","given":"Kazunari"},{"family":"Akira","given":"Shizuo"},{"family":"Fujita","given":"Takashi"}],"issued":{"year":2004,"month":6,"day":20},"accessed":{"year":2012,"month":7,"day":9}}}],"schema":"https://github.com/citation-style-language/schema/raw/master/csl-citation.json"} </w:instrText>
      </w:r>
      <w:r w:rsidR="00373D88">
        <w:fldChar w:fldCharType="separate"/>
      </w:r>
      <w:r w:rsidR="00373D88" w:rsidRPr="00373D88">
        <w:rPr>
          <w:rFonts w:ascii="Calibri" w:hAnsi="Calibri" w:cs="Calibri"/>
          <w:szCs w:val="24"/>
          <w:vertAlign w:val="superscript"/>
        </w:rPr>
        <w:t>3</w:t>
      </w:r>
      <w:r w:rsidR="00373D88">
        <w:fldChar w:fldCharType="end"/>
      </w:r>
      <w:r w:rsidR="003A300E">
        <w:t>(Supplementary Figure JKB_S1</w:t>
      </w:r>
      <w:r w:rsidR="002C5935">
        <w:t>)</w:t>
      </w:r>
      <w:r>
        <w:t>. The remaining 11 promoters include some compelling candidates for involvement</w:t>
      </w:r>
      <w:r w:rsidR="00CD2309">
        <w:t xml:space="preserve"> in</w:t>
      </w:r>
      <w:r w:rsidR="00373D88">
        <w:t xml:space="preserve"> the host response to influenza:</w:t>
      </w:r>
      <w:r w:rsidR="00CD2309">
        <w:t xml:space="preserve"> </w:t>
      </w:r>
      <w:r w:rsidR="00373D88">
        <w:t>4</w:t>
      </w:r>
      <w:r w:rsidR="00E410BE">
        <w:t xml:space="preserve"> of these genes</w:t>
      </w:r>
      <w:r w:rsidR="00CD2309">
        <w:t xml:space="preserve"> (TRIM21, TRIM22, RTP4, and XAF1) were found to be key host determinants of influenza virus replication in a </w:t>
      </w:r>
      <w:r w:rsidR="00731FA5">
        <w:t xml:space="preserve">single </w:t>
      </w:r>
      <w:r w:rsidR="00CD2309">
        <w:t xml:space="preserve">high-throughput </w:t>
      </w:r>
      <w:proofErr w:type="spellStart"/>
      <w:r w:rsidR="007977B4">
        <w:t>siRNA</w:t>
      </w:r>
      <w:proofErr w:type="spellEnd"/>
      <w:r w:rsidR="007977B4">
        <w:t xml:space="preserve"> </w:t>
      </w:r>
      <w:r w:rsidR="00CD2309">
        <w:t>screen (616 genes reported</w:t>
      </w:r>
      <w:r w:rsidR="00DE72C2">
        <w:t xml:space="preserve"> in total</w:t>
      </w:r>
      <w:r w:rsidR="00CD2309">
        <w:t>)</w:t>
      </w:r>
      <w:r w:rsidR="000C6657">
        <w:fldChar w:fldCharType="begin"/>
      </w:r>
      <w:r w:rsidR="000C6657">
        <w:instrText xml:space="preserve"> ADDIN ZOTERO_ITEM CSL_CITATION {"citationID":"2odb3vpndr","properties":{"formattedCitation":"{\\rtf \\super 4\\nosupersub{}}","plainCitation":"4"},"citationItems":[{"id":2183,"uris":["http://zotero.org/users/16472/items/EPCUGZEZ"],"uri":["http://zotero.org/users/16472/items/EPCUGZEZ"],"itemData":{"id":2183,"type":"article-journal","title":"A Physical and Regulatory Map of Host-Influenza Interactions Reveals Pathways in H1N1 Infection","container-title":"Cell","page":"1255-1267","volume":"139","issue":"7","abstract":"Summary\nDuring the course of a viral infection, viral proteins interact with an array of host proteins and pathways. Here, we present a systematic strategy to elucidate the dynamic interactions between H1N1 influenza and its human host. A combination of yeast two-hybrid analysis and genome-wide expression profiling implicated hundreds of human factors in mediating viral-host interactions. These factors were then examined functionally through depletion analyses in primary lung cells. The resulting data point to potential roles for some unanticipated host and viral proteins in viral infection and the host response, including a network of RNA-binding proteins, components of WNT signaling, and viral polymerase subunits. This multilayered approach provides a comprehensive and unbiased physical and regulatory model of influenza-host interactions and demonstrates a general strategy for uncovering complex host-pathogen relationships.","DOI":"10.1016/j.cell.2009.12.018","author":[{"family":"Shapira","given":"Sagi D."},{"family":"Gat-Viks","given":"Irit"},{"family":"Shum","given":"Bennett O.V."},{"family":"Dricot","given":"Amelie"},{"family":"de Grace","given":"Marciela M."},{"family":"Wu","given":"Liguo"},{"family":"Gupta","given":"Piyush B."},{"family":"Hao","given":"Tong"},{"family":"Silver","given":"Serena J."},{"family":"Root","given":"David E."},{"family":"Hill","given":"David E."},{"family":"Regev","given":"Aviv"},{"family":"Hacohen","given":"Nir"}],"issued":{"year":2009,"month":12,"day":24},"accessed":{"year":2012,"month":4,"day":3}}}],"schema":"https://github.com/citation-style-language/schema/raw/master/csl-citation.json"} </w:instrText>
      </w:r>
      <w:r w:rsidR="000C6657">
        <w:fldChar w:fldCharType="separate"/>
      </w:r>
      <w:r w:rsidR="000C6657" w:rsidRPr="00373D88">
        <w:rPr>
          <w:rFonts w:ascii="Calibri" w:hAnsi="Calibri" w:cs="Calibri"/>
          <w:szCs w:val="24"/>
          <w:vertAlign w:val="superscript"/>
        </w:rPr>
        <w:t>4</w:t>
      </w:r>
      <w:r w:rsidR="000C6657">
        <w:fldChar w:fldCharType="end"/>
      </w:r>
      <w:r w:rsidR="00CD2309">
        <w:t>.</w:t>
      </w:r>
      <w:r w:rsidR="00DE72C2">
        <w:t xml:space="preserve"> </w:t>
      </w:r>
      <w:r w:rsidR="00466E0D">
        <w:t>Another</w:t>
      </w:r>
      <w:r w:rsidR="002C245B">
        <w:t xml:space="preserve"> </w:t>
      </w:r>
      <w:r w:rsidR="007977B4">
        <w:t>gene</w:t>
      </w:r>
      <w:r w:rsidR="00466E0D">
        <w:t>, PLSCR1, is required for a normal interferon response to influenza A</w:t>
      </w:r>
      <w:r w:rsidR="00466E0D">
        <w:fldChar w:fldCharType="begin"/>
      </w:r>
      <w:r w:rsidR="00373D88">
        <w:instrText xml:space="preserve"> ADDIN ZOTERO_ITEM CSL_CITATION {"citationID":"10pkkm209j","properties":{"formattedCitation":"{\\rtf \\super 5\\nosupersub{}}","plainCitation":"5"},"citationItems":[{"id":2505,"uris":["http://zotero.org/users/16472/items/IWGXPJSG"],"itemData":{"id":2505,"type":"article-journal","title":"Phospholipid Scramblase 1 regulates Toll-like receptor 9-mediated type I interferon production in plasmacytoid dendritic cells","container-title":"Cell Research","page":"1129-1139","volume":"22","issue":"7","abstract":"Toll-like receptor 9 (TLR9) senses microbial DNA in the endosomes of plasmacytoid dendritic cells (pDCs) and triggers MyD88-dependent type I interferon (IFN) responses. To better understand TLR9 biology in pDCs, we established a yeast two-hybrid library for the identification of TLR9-interacting proteins. Here, we report that an IFN-inducible protein, phospholipid scramblase 1 (PLSCR1), interacts with TLR9 in pDCs. Knockdown of PLSCR1 expression by siRNA in human pDC cell line led to a 60-70% reduction of IFN-α responses following CpG-ODN (oligodeoxynucleotide) stimulation. Primary pDCs from PLSCR1-deficient mice produced lower amount of type 1 IFN than pDCs from the wild-type mice in response to CpG-ODN, herpes simplex virus and influenza A virus. Following CpG-A stimulation, there were much lower amounts of TLR9 in the early endosomes together with CpG-A in pDCs from PLSCR1-deficient mice. Our study demonstrates that PLSCR1 is a TLR9-interacting protein that plays an important role in pDC's type 1 IFN responses by regulating TLR9 trafficking to the endosomal compartment.","DOI":"10.1038/cr.2012.45","language":"en","author":[{"family":"Talukder","given":"Amjad H"},{"family":"Bao","given":"Musheng"},{"family":"Kim","given":"Tae Whan"},{"family":"Facchinetti","given":"Valeria"},{"family":"Hanabuchi","given":"Shino"},{"family":"Bover","given":"Laura"},{"family":"Zal","given":"Tomasz"},{"family":"Liu","given":"Yong-Jun"}],"issued":{"year":2012},"accessed":{"year":2012,"month":7,"day":8}}}],"schema":"https://github.com/citation-style-language/schema/raw/master/csl-citation.json"} </w:instrText>
      </w:r>
      <w:r w:rsidR="00466E0D">
        <w:fldChar w:fldCharType="separate"/>
      </w:r>
      <w:r w:rsidR="00373D88" w:rsidRPr="00373D88">
        <w:rPr>
          <w:rFonts w:ascii="Calibri" w:hAnsi="Calibri" w:cs="Calibri"/>
          <w:szCs w:val="24"/>
          <w:vertAlign w:val="superscript"/>
        </w:rPr>
        <w:t>5</w:t>
      </w:r>
      <w:r w:rsidR="00466E0D">
        <w:fldChar w:fldCharType="end"/>
      </w:r>
      <w:r w:rsidR="00466E0D">
        <w:t xml:space="preserve">. </w:t>
      </w:r>
    </w:p>
    <w:p w:rsidR="00C667B4" w:rsidRDefault="0013559A" w:rsidP="00161DEB">
      <w:r>
        <w:t xml:space="preserve">A particular advantage of CAGE </w:t>
      </w:r>
      <w:r w:rsidR="00D522D4">
        <w:t>is that alternative TSS</w:t>
      </w:r>
      <w:r w:rsidR="00373D88">
        <w:t xml:space="preserve"> for the same protein-coding gene</w:t>
      </w:r>
      <w:r w:rsidR="00D522D4">
        <w:t xml:space="preserve"> with divergent expression profiles</w:t>
      </w:r>
      <w:r>
        <w:t xml:space="preserve"> may</w:t>
      </w:r>
      <w:r w:rsidR="006F5690">
        <w:t xml:space="preserve"> occupy different positions in the </w:t>
      </w:r>
      <w:proofErr w:type="spellStart"/>
      <w:r w:rsidR="006F5690">
        <w:t>coexpression</w:t>
      </w:r>
      <w:proofErr w:type="spellEnd"/>
      <w:r w:rsidR="006F5690">
        <w:t xml:space="preserve"> network. </w:t>
      </w:r>
      <w:r w:rsidR="001B406B">
        <w:t xml:space="preserve">For example, in </w:t>
      </w:r>
      <w:proofErr w:type="spellStart"/>
      <w:r w:rsidR="001B406B">
        <w:t>coexpression</w:t>
      </w:r>
      <w:proofErr w:type="spellEnd"/>
      <w:r w:rsidR="001B406B">
        <w:t xml:space="preserve"> group </w:t>
      </w:r>
      <w:r w:rsidR="009F7C1A">
        <w:t>C</w:t>
      </w:r>
      <w:r w:rsidR="001B406B">
        <w:t>413 an inducible variant of IRF9</w:t>
      </w:r>
      <w:r w:rsidR="006F5690">
        <w:t xml:space="preserve"> </w:t>
      </w:r>
      <w:r w:rsidR="00C31D16">
        <w:t>is tightly associated</w:t>
      </w:r>
      <w:r w:rsidR="001B406B">
        <w:t xml:space="preserve"> with other transcripts implicated in influenza pathogenesis, but </w:t>
      </w:r>
      <w:r w:rsidR="007977B4">
        <w:t>a</w:t>
      </w:r>
      <w:r w:rsidR="001B406B">
        <w:t xml:space="preserve"> more abundant constitutively-expressed </w:t>
      </w:r>
      <w:r w:rsidR="00557AA2">
        <w:t xml:space="preserve">transcript </w:t>
      </w:r>
      <w:r w:rsidR="007977B4">
        <w:t xml:space="preserve">403bp upstream </w:t>
      </w:r>
      <w:r w:rsidR="00557AA2">
        <w:t xml:space="preserve">is </w:t>
      </w:r>
      <w:proofErr w:type="spellStart"/>
      <w:r w:rsidR="00557AA2">
        <w:t>coexpressed</w:t>
      </w:r>
      <w:proofErr w:type="spellEnd"/>
      <w:r w:rsidR="00557AA2">
        <w:t xml:space="preserve"> with a different group of genes (group 26)</w:t>
      </w:r>
      <w:r w:rsidR="009D3BAF">
        <w:t xml:space="preserve"> </w:t>
      </w:r>
      <w:r w:rsidR="001B406B">
        <w:t>(Supplementary Figure [</w:t>
      </w:r>
      <w:r w:rsidR="001B406B" w:rsidRPr="00E91F7C">
        <w:t>IRF9_differential_expression_profiles.png</w:t>
      </w:r>
      <w:r w:rsidR="001B406B">
        <w:t>])</w:t>
      </w:r>
      <w:r w:rsidR="00557AA2">
        <w:t>.</w:t>
      </w:r>
      <w:r>
        <w:t xml:space="preserve"> </w:t>
      </w:r>
      <w:r w:rsidR="00C31D16">
        <w:t>Although the inducible transcript</w:t>
      </w:r>
      <w:r w:rsidR="00FE0F47">
        <w:t xml:space="preserve"> may give rise to a truncated 5’UTR,</w:t>
      </w:r>
      <w:r w:rsidR="00C31D16">
        <w:t xml:space="preserve"> it is not clear that it serves a different biological function. However the differential regulation of these transcripts </w:t>
      </w:r>
      <w:r w:rsidR="00B339F3">
        <w:t>does</w:t>
      </w:r>
      <w:r w:rsidR="00C667B4">
        <w:t xml:space="preserve"> </w:t>
      </w:r>
      <w:r w:rsidR="00B339F3">
        <w:t>improve the powe</w:t>
      </w:r>
      <w:r w:rsidR="000E1296">
        <w:t xml:space="preserve">r of annotation by </w:t>
      </w:r>
      <w:proofErr w:type="spellStart"/>
      <w:r w:rsidR="000E1296">
        <w:t>coexpression</w:t>
      </w:r>
      <w:proofErr w:type="spellEnd"/>
      <w:r w:rsidR="000E1296">
        <w:t xml:space="preserve">: the </w:t>
      </w:r>
      <w:r w:rsidR="00C667B4">
        <w:t xml:space="preserve">most abundantly-expressed </w:t>
      </w:r>
      <w:r w:rsidR="00AB301A">
        <w:t>TSS clusters</w:t>
      </w:r>
      <w:r w:rsidR="000E1296">
        <w:t xml:space="preserve"> for IRF7, DDX58,</w:t>
      </w:r>
      <w:r w:rsidR="00C667B4">
        <w:t xml:space="preserve"> and IRF9 are widely separated in the </w:t>
      </w:r>
      <w:proofErr w:type="spellStart"/>
      <w:r w:rsidR="00C667B4">
        <w:t>coexpression</w:t>
      </w:r>
      <w:proofErr w:type="spellEnd"/>
      <w:r w:rsidR="00C667B4">
        <w:t xml:space="preserve"> network, and so </w:t>
      </w:r>
      <w:r w:rsidR="000503FB">
        <w:t>the</w:t>
      </w:r>
      <w:r w:rsidR="009A6F39">
        <w:t xml:space="preserve"> compelling</w:t>
      </w:r>
      <w:r w:rsidR="000503FB">
        <w:t xml:space="preserve"> association between them would not have been detected with other methods.</w:t>
      </w:r>
      <w:bookmarkStart w:id="0" w:name="_GoBack"/>
      <w:bookmarkEnd w:id="0"/>
    </w:p>
    <w:p w:rsidR="001B406B" w:rsidRDefault="00C31D16" w:rsidP="00161DEB">
      <w:proofErr w:type="gramStart"/>
      <w:r>
        <w:t>[Species conservation of IRF9 alternative promoter?]</w:t>
      </w:r>
      <w:proofErr w:type="gramEnd"/>
    </w:p>
    <w:p w:rsidR="00385FFB" w:rsidRDefault="00385FFB">
      <w:r>
        <w:t xml:space="preserve">This influenza host response signature is of particular interest, since among the 886 samples in the expression profiles described here there are no samples that were deliberately exposed to influenza virus. The detection of strongly enriched clusters for response to influenza therefore demonstrates the general principle that </w:t>
      </w:r>
      <w:proofErr w:type="spellStart"/>
      <w:r>
        <w:t>coexpression</w:t>
      </w:r>
      <w:proofErr w:type="spellEnd"/>
      <w:r>
        <w:t xml:space="preserve"> signatures for a range of biological processes can be extrapolated from a sufficiently diverse atlas of gene expression. </w:t>
      </w:r>
    </w:p>
    <w:p w:rsidR="00385FFB" w:rsidRDefault="00385FFB"/>
    <w:p w:rsidR="000C6657" w:rsidRPr="000C6657" w:rsidRDefault="000C6657"/>
    <w:p w:rsidR="00E81CBE" w:rsidRDefault="00E81CBE">
      <w:pPr>
        <w:jc w:val="left"/>
      </w:pPr>
      <w:r>
        <w:br w:type="page"/>
      </w:r>
    </w:p>
    <w:p w:rsidR="0013559A" w:rsidRPr="0013559A" w:rsidRDefault="0013559A">
      <w:r w:rsidRPr="0013559A">
        <w:lastRenderedPageBreak/>
        <w:t>References</w:t>
      </w:r>
    </w:p>
    <w:p w:rsidR="00373D88" w:rsidRPr="00373D88" w:rsidRDefault="002C5935" w:rsidP="00373D88">
      <w:pPr>
        <w:pStyle w:val="Bibliography"/>
        <w:rPr>
          <w:rFonts w:ascii="Calibri" w:hAnsi="Calibri" w:cs="Calibri"/>
        </w:rPr>
      </w:pPr>
      <w:r>
        <w:fldChar w:fldCharType="begin"/>
      </w:r>
      <w:r w:rsidR="00373D88">
        <w:instrText xml:space="preserve"> ADDIN ZOTERO_BIBL {"custom":[]} CSL_BIBLIOGRAPHY </w:instrText>
      </w:r>
      <w:r>
        <w:fldChar w:fldCharType="separate"/>
      </w:r>
      <w:r w:rsidR="00373D88" w:rsidRPr="00373D88">
        <w:rPr>
          <w:rFonts w:ascii="Calibri" w:hAnsi="Calibri" w:cs="Calibri"/>
        </w:rPr>
        <w:t>1.</w:t>
      </w:r>
      <w:r w:rsidR="00373D88" w:rsidRPr="00373D88">
        <w:rPr>
          <w:rFonts w:ascii="Calibri" w:hAnsi="Calibri" w:cs="Calibri"/>
        </w:rPr>
        <w:tab/>
        <w:t xml:space="preserve">Hume, D. A., Summers, K. M., Raza, S., Baillie, J. K. &amp; Freeman, T. C. Functional clustering and lineage markers: insights into cellular differentiation and gene function from large-scale microarray studies of purified primary cell populations. </w:t>
      </w:r>
      <w:r w:rsidR="00373D88" w:rsidRPr="00373D88">
        <w:rPr>
          <w:rFonts w:ascii="Calibri" w:hAnsi="Calibri" w:cs="Calibri"/>
          <w:i/>
          <w:iCs/>
        </w:rPr>
        <w:t>Genomics</w:t>
      </w:r>
      <w:r w:rsidR="00373D88" w:rsidRPr="00373D88">
        <w:rPr>
          <w:rFonts w:ascii="Calibri" w:hAnsi="Calibri" w:cs="Calibri"/>
        </w:rPr>
        <w:t xml:space="preserve"> </w:t>
      </w:r>
      <w:r w:rsidR="00373D88" w:rsidRPr="00373D88">
        <w:rPr>
          <w:rFonts w:ascii="Calibri" w:hAnsi="Calibri" w:cs="Calibri"/>
          <w:b/>
          <w:bCs/>
        </w:rPr>
        <w:t>95</w:t>
      </w:r>
      <w:r w:rsidR="00373D88" w:rsidRPr="00373D88">
        <w:rPr>
          <w:rFonts w:ascii="Calibri" w:hAnsi="Calibri" w:cs="Calibri"/>
        </w:rPr>
        <w:t>, 328–338 (2010).</w:t>
      </w:r>
    </w:p>
    <w:p w:rsidR="00373D88" w:rsidRPr="00373D88" w:rsidRDefault="00373D88" w:rsidP="00373D88">
      <w:pPr>
        <w:pStyle w:val="Bibliography"/>
        <w:rPr>
          <w:rFonts w:ascii="Calibri" w:hAnsi="Calibri" w:cs="Calibri"/>
        </w:rPr>
      </w:pPr>
      <w:r w:rsidRPr="00373D88">
        <w:rPr>
          <w:rFonts w:ascii="Calibri" w:hAnsi="Calibri" w:cs="Calibri"/>
        </w:rPr>
        <w:t>2.</w:t>
      </w:r>
      <w:r w:rsidRPr="00373D88">
        <w:rPr>
          <w:rFonts w:ascii="Calibri" w:hAnsi="Calibri" w:cs="Calibri"/>
        </w:rPr>
        <w:tab/>
        <w:t xml:space="preserve">Kanehisa, M. &amp; Goto, S. KEGG: kyoto encyclopedia of genes and genomes. </w:t>
      </w:r>
      <w:r w:rsidRPr="00373D88">
        <w:rPr>
          <w:rFonts w:ascii="Calibri" w:hAnsi="Calibri" w:cs="Calibri"/>
          <w:i/>
          <w:iCs/>
        </w:rPr>
        <w:t>Nucleic Acids Res</w:t>
      </w:r>
      <w:r w:rsidRPr="00373D88">
        <w:rPr>
          <w:rFonts w:ascii="Calibri" w:hAnsi="Calibri" w:cs="Calibri"/>
        </w:rPr>
        <w:t xml:space="preserve"> </w:t>
      </w:r>
      <w:r w:rsidRPr="00373D88">
        <w:rPr>
          <w:rFonts w:ascii="Calibri" w:hAnsi="Calibri" w:cs="Calibri"/>
          <w:b/>
          <w:bCs/>
        </w:rPr>
        <w:t>28</w:t>
      </w:r>
      <w:r w:rsidRPr="00373D88">
        <w:rPr>
          <w:rFonts w:ascii="Calibri" w:hAnsi="Calibri" w:cs="Calibri"/>
        </w:rPr>
        <w:t>, 27–30 (2000).</w:t>
      </w:r>
    </w:p>
    <w:p w:rsidR="00373D88" w:rsidRPr="00373D88" w:rsidRDefault="00373D88" w:rsidP="00373D88">
      <w:pPr>
        <w:pStyle w:val="Bibliography"/>
        <w:rPr>
          <w:rFonts w:ascii="Calibri" w:hAnsi="Calibri" w:cs="Calibri"/>
        </w:rPr>
      </w:pPr>
      <w:r w:rsidRPr="00373D88">
        <w:rPr>
          <w:rFonts w:ascii="Calibri" w:hAnsi="Calibri" w:cs="Calibri"/>
        </w:rPr>
        <w:t>3.</w:t>
      </w:r>
      <w:r w:rsidRPr="00373D88">
        <w:rPr>
          <w:rFonts w:ascii="Calibri" w:hAnsi="Calibri" w:cs="Calibri"/>
        </w:rPr>
        <w:tab/>
        <w:t xml:space="preserve">Yoneyama, M. </w:t>
      </w:r>
      <w:r w:rsidRPr="00373D88">
        <w:rPr>
          <w:rFonts w:ascii="Calibri" w:hAnsi="Calibri" w:cs="Calibri"/>
          <w:i/>
          <w:iCs/>
        </w:rPr>
        <w:t>et al.</w:t>
      </w:r>
      <w:r w:rsidRPr="00373D88">
        <w:rPr>
          <w:rFonts w:ascii="Calibri" w:hAnsi="Calibri" w:cs="Calibri"/>
        </w:rPr>
        <w:t xml:space="preserve"> The RNA helicase RIG-I has an essential function in double-stranded RNA-induced innate antiviral responses. </w:t>
      </w:r>
      <w:r w:rsidRPr="00373D88">
        <w:rPr>
          <w:rFonts w:ascii="Calibri" w:hAnsi="Calibri" w:cs="Calibri"/>
          <w:i/>
          <w:iCs/>
        </w:rPr>
        <w:t>Nature Immunology</w:t>
      </w:r>
      <w:r w:rsidRPr="00373D88">
        <w:rPr>
          <w:rFonts w:ascii="Calibri" w:hAnsi="Calibri" w:cs="Calibri"/>
        </w:rPr>
        <w:t xml:space="preserve"> </w:t>
      </w:r>
      <w:r w:rsidRPr="00373D88">
        <w:rPr>
          <w:rFonts w:ascii="Calibri" w:hAnsi="Calibri" w:cs="Calibri"/>
          <w:b/>
          <w:bCs/>
        </w:rPr>
        <w:t>5</w:t>
      </w:r>
      <w:r w:rsidRPr="00373D88">
        <w:rPr>
          <w:rFonts w:ascii="Calibri" w:hAnsi="Calibri" w:cs="Calibri"/>
        </w:rPr>
        <w:t>, 730–737 (2004).</w:t>
      </w:r>
    </w:p>
    <w:p w:rsidR="00373D88" w:rsidRPr="00373D88" w:rsidRDefault="00373D88" w:rsidP="00373D88">
      <w:pPr>
        <w:pStyle w:val="Bibliography"/>
        <w:rPr>
          <w:rFonts w:ascii="Calibri" w:hAnsi="Calibri" w:cs="Calibri"/>
        </w:rPr>
      </w:pPr>
      <w:r w:rsidRPr="00373D88">
        <w:rPr>
          <w:rFonts w:ascii="Calibri" w:hAnsi="Calibri" w:cs="Calibri"/>
        </w:rPr>
        <w:t>4.</w:t>
      </w:r>
      <w:r w:rsidRPr="00373D88">
        <w:rPr>
          <w:rFonts w:ascii="Calibri" w:hAnsi="Calibri" w:cs="Calibri"/>
        </w:rPr>
        <w:tab/>
        <w:t xml:space="preserve">Shapira, S. D. </w:t>
      </w:r>
      <w:r w:rsidRPr="00373D88">
        <w:rPr>
          <w:rFonts w:ascii="Calibri" w:hAnsi="Calibri" w:cs="Calibri"/>
          <w:i/>
          <w:iCs/>
        </w:rPr>
        <w:t>et al.</w:t>
      </w:r>
      <w:r w:rsidRPr="00373D88">
        <w:rPr>
          <w:rFonts w:ascii="Calibri" w:hAnsi="Calibri" w:cs="Calibri"/>
        </w:rPr>
        <w:t xml:space="preserve"> A Physical and Regulatory Map of Host-Influenza Interactions Reveals Pathways in H1N1 Infection. </w:t>
      </w:r>
      <w:r w:rsidRPr="00373D88">
        <w:rPr>
          <w:rFonts w:ascii="Calibri" w:hAnsi="Calibri" w:cs="Calibri"/>
          <w:i/>
          <w:iCs/>
        </w:rPr>
        <w:t>Cell</w:t>
      </w:r>
      <w:r w:rsidRPr="00373D88">
        <w:rPr>
          <w:rFonts w:ascii="Calibri" w:hAnsi="Calibri" w:cs="Calibri"/>
        </w:rPr>
        <w:t xml:space="preserve"> </w:t>
      </w:r>
      <w:r w:rsidRPr="00373D88">
        <w:rPr>
          <w:rFonts w:ascii="Calibri" w:hAnsi="Calibri" w:cs="Calibri"/>
          <w:b/>
          <w:bCs/>
        </w:rPr>
        <w:t>139</w:t>
      </w:r>
      <w:r w:rsidRPr="00373D88">
        <w:rPr>
          <w:rFonts w:ascii="Calibri" w:hAnsi="Calibri" w:cs="Calibri"/>
        </w:rPr>
        <w:t>, 1255–1267 (2009).</w:t>
      </w:r>
    </w:p>
    <w:p w:rsidR="00373D88" w:rsidRPr="00373D88" w:rsidRDefault="00373D88" w:rsidP="00373D88">
      <w:pPr>
        <w:pStyle w:val="Bibliography"/>
        <w:rPr>
          <w:rFonts w:ascii="Calibri" w:hAnsi="Calibri" w:cs="Calibri"/>
        </w:rPr>
      </w:pPr>
      <w:r w:rsidRPr="00373D88">
        <w:rPr>
          <w:rFonts w:ascii="Calibri" w:hAnsi="Calibri" w:cs="Calibri"/>
        </w:rPr>
        <w:t>5.</w:t>
      </w:r>
      <w:r w:rsidRPr="00373D88">
        <w:rPr>
          <w:rFonts w:ascii="Calibri" w:hAnsi="Calibri" w:cs="Calibri"/>
        </w:rPr>
        <w:tab/>
        <w:t xml:space="preserve">Talukder, A. H. </w:t>
      </w:r>
      <w:r w:rsidRPr="00373D88">
        <w:rPr>
          <w:rFonts w:ascii="Calibri" w:hAnsi="Calibri" w:cs="Calibri"/>
          <w:i/>
          <w:iCs/>
        </w:rPr>
        <w:t>et al.</w:t>
      </w:r>
      <w:r w:rsidRPr="00373D88">
        <w:rPr>
          <w:rFonts w:ascii="Calibri" w:hAnsi="Calibri" w:cs="Calibri"/>
        </w:rPr>
        <w:t xml:space="preserve"> Phospholipid Scramblase 1 regulates Toll-like receptor 9-mediated type I interferon production in plasmacytoid dendritic cells. </w:t>
      </w:r>
      <w:r w:rsidRPr="00373D88">
        <w:rPr>
          <w:rFonts w:ascii="Calibri" w:hAnsi="Calibri" w:cs="Calibri"/>
          <w:i/>
          <w:iCs/>
        </w:rPr>
        <w:t>Cell Research</w:t>
      </w:r>
      <w:r w:rsidRPr="00373D88">
        <w:rPr>
          <w:rFonts w:ascii="Calibri" w:hAnsi="Calibri" w:cs="Calibri"/>
        </w:rPr>
        <w:t xml:space="preserve"> </w:t>
      </w:r>
      <w:r w:rsidRPr="00373D88">
        <w:rPr>
          <w:rFonts w:ascii="Calibri" w:hAnsi="Calibri" w:cs="Calibri"/>
          <w:b/>
          <w:bCs/>
        </w:rPr>
        <w:t>22</w:t>
      </w:r>
      <w:r w:rsidRPr="00373D88">
        <w:rPr>
          <w:rFonts w:ascii="Calibri" w:hAnsi="Calibri" w:cs="Calibri"/>
        </w:rPr>
        <w:t>, 1129–1139 (2012).</w:t>
      </w:r>
    </w:p>
    <w:p w:rsidR="00B7116B" w:rsidRDefault="002C5935">
      <w:r>
        <w:fldChar w:fldCharType="end"/>
      </w:r>
    </w:p>
    <w:p w:rsidR="00B7116B" w:rsidRDefault="009A6F39" w:rsidP="005426AA">
      <w:pPr>
        <w:pStyle w:val="Heading3"/>
      </w:pPr>
      <w:proofErr w:type="gramStart"/>
      <w:r>
        <w:t>Figure</w:t>
      </w:r>
      <w:r w:rsidR="005426AA">
        <w:t>s.</w:t>
      </w:r>
      <w:proofErr w:type="gramEnd"/>
    </w:p>
    <w:p w:rsidR="00EE3825" w:rsidRDefault="005426AA">
      <w:r>
        <w:rPr>
          <w:noProof/>
          <w:lang w:eastAsia="en-GB"/>
        </w:rPr>
        <w:drawing>
          <wp:inline distT="0" distB="0" distL="0" distR="0">
            <wp:extent cx="5278814" cy="4015408"/>
            <wp:effectExtent l="19050" t="0" r="0" b="0"/>
            <wp:docPr id="2" name="Picture 1" descr="C:\Sync\Dropbox\2_proposals_and_publications\12. FIGURES\FANTOM5_MAIN\f5_coexpressi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ync\Dropbox\2_proposals_and_publications\12. FIGURES\FANTOM5_MAIN\f5_coexpression_A.png"/>
                    <pic:cNvPicPr>
                      <a:picLocks noChangeAspect="1" noChangeArrowheads="1"/>
                    </pic:cNvPicPr>
                  </pic:nvPicPr>
                  <pic:blipFill>
                    <a:blip r:embed="rId5" cstate="print"/>
                    <a:srcRect/>
                    <a:stretch>
                      <a:fillRect/>
                    </a:stretch>
                  </pic:blipFill>
                  <pic:spPr bwMode="auto">
                    <a:xfrm>
                      <a:off x="0" y="0"/>
                      <a:ext cx="5283773" cy="4019180"/>
                    </a:xfrm>
                    <a:prstGeom prst="rect">
                      <a:avLst/>
                    </a:prstGeom>
                    <a:noFill/>
                    <a:ln w="9525">
                      <a:noFill/>
                      <a:miter lim="800000"/>
                      <a:headEnd/>
                      <a:tailEnd/>
                    </a:ln>
                  </pic:spPr>
                </pic:pic>
              </a:graphicData>
            </a:graphic>
          </wp:inline>
        </w:drawing>
      </w:r>
    </w:p>
    <w:p w:rsidR="00D86291" w:rsidRDefault="00D86291">
      <w:r>
        <w:t>[OPTION 1]</w:t>
      </w:r>
    </w:p>
    <w:p w:rsidR="00D86291" w:rsidRDefault="00D86291">
      <w:r>
        <w:rPr>
          <w:noProof/>
          <w:lang w:eastAsia="en-GB"/>
        </w:rPr>
        <w:lastRenderedPageBreak/>
        <w:drawing>
          <wp:inline distT="0" distB="0" distL="0" distR="0">
            <wp:extent cx="6354540" cy="4768553"/>
            <wp:effectExtent l="0" t="0" r="8255" b="0"/>
            <wp:docPr id="4" name="Picture 4" descr="C:\JKB_home\Dropbox\2_proposals_and_publications\12. FIGURES\FANTOM5_MAIN\f5_coexpression_all_pathway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KB_home\Dropbox\2_proposals_and_publications\12. FIGURES\FANTOM5_MAIN\f5_coexpression_all_pathways.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8175" cy="4771281"/>
                    </a:xfrm>
                    <a:prstGeom prst="rect">
                      <a:avLst/>
                    </a:prstGeom>
                    <a:noFill/>
                    <a:ln>
                      <a:noFill/>
                    </a:ln>
                  </pic:spPr>
                </pic:pic>
              </a:graphicData>
            </a:graphic>
          </wp:inline>
        </w:drawing>
      </w:r>
    </w:p>
    <w:p w:rsidR="00D86291" w:rsidRDefault="00D86291">
      <w:r>
        <w:t>[OPTION 2]</w:t>
      </w:r>
    </w:p>
    <w:p w:rsidR="00B7116B" w:rsidRDefault="00B7116B">
      <w:r>
        <w:t xml:space="preserve">Figure </w:t>
      </w:r>
      <w:r w:rsidR="003A300E">
        <w:t xml:space="preserve">JKB_1 </w:t>
      </w:r>
      <w:r>
        <w:t>[</w:t>
      </w:r>
      <w:r w:rsidR="005426AA" w:rsidRPr="005426AA">
        <w:t>f5_coexpression_A.png</w:t>
      </w:r>
      <w:r w:rsidR="00754AE4">
        <w:t xml:space="preserve"> OR </w:t>
      </w:r>
      <w:r w:rsidR="00754AE4" w:rsidRPr="00754AE4">
        <w:t>f5_coexpression_all_pathways.tif</w:t>
      </w:r>
      <w:r>
        <w:t xml:space="preserve">]. Collapsed </w:t>
      </w:r>
      <w:proofErr w:type="spellStart"/>
      <w:r w:rsidR="00C079AF">
        <w:t>coexpression</w:t>
      </w:r>
      <w:proofErr w:type="spellEnd"/>
      <w:r>
        <w:t xml:space="preserve"> network </w:t>
      </w:r>
      <w:r w:rsidR="00C079AF">
        <w:t>showing</w:t>
      </w:r>
      <w:r>
        <w:t xml:space="preserve"> 4664 </w:t>
      </w:r>
      <w:proofErr w:type="spellStart"/>
      <w:r>
        <w:t>coexpression</w:t>
      </w:r>
      <w:proofErr w:type="spellEnd"/>
      <w:r>
        <w:t xml:space="preserve"> </w:t>
      </w:r>
      <w:r w:rsidR="00C079AF">
        <w:t>groups</w:t>
      </w:r>
      <w:r>
        <w:t xml:space="preserve"> </w:t>
      </w:r>
      <w:r w:rsidR="00C31D16">
        <w:t xml:space="preserve">(one node is one group of promoters) </w:t>
      </w:r>
      <w:r>
        <w:t>derived from expression profiles of 18</w:t>
      </w:r>
      <w:r w:rsidR="00C079AF">
        <w:t>2</w:t>
      </w:r>
      <w:r>
        <w:t xml:space="preserve">,000 promoters across </w:t>
      </w:r>
      <w:r w:rsidR="00C079AF">
        <w:t>887</w:t>
      </w:r>
      <w:r>
        <w:t xml:space="preserve"> primary cell types, tissues and cell lines</w:t>
      </w:r>
      <w:r w:rsidR="00C079AF">
        <w:t xml:space="preserve"> (r&gt;</w:t>
      </w:r>
      <w:r w:rsidR="00D522D4">
        <w:t xml:space="preserve">0.75, </w:t>
      </w:r>
      <w:proofErr w:type="spellStart"/>
      <w:r w:rsidR="00D522D4">
        <w:t>MCLi</w:t>
      </w:r>
      <w:proofErr w:type="spellEnd"/>
      <w:r>
        <w:t xml:space="preserve">=2.2). For display, each </w:t>
      </w:r>
      <w:r w:rsidR="00C31D16">
        <w:t>group</w:t>
      </w:r>
      <w:r>
        <w:t xml:space="preserve"> of promoters is collapsed into a sphere, the radius of which is proportional to the cube root of the number of promoters in that </w:t>
      </w:r>
      <w:r w:rsidR="00C31D16">
        <w:t>group</w:t>
      </w:r>
      <w:r>
        <w:t xml:space="preserve">. Edges indicate </w:t>
      </w:r>
      <w:r w:rsidR="00C079AF">
        <w:t>r&gt;0.6</w:t>
      </w:r>
      <w:r w:rsidR="00D522D4">
        <w:t xml:space="preserve"> </w:t>
      </w:r>
      <w:r>
        <w:t>between the average expression profiles of each cluster. Colours indicate loos</w:t>
      </w:r>
      <w:r w:rsidR="00C31D16">
        <w:t xml:space="preserve">ely-associated collections of </w:t>
      </w:r>
      <w:proofErr w:type="spellStart"/>
      <w:r w:rsidR="00C31D16">
        <w:t>coexpression</w:t>
      </w:r>
      <w:proofErr w:type="spellEnd"/>
      <w:r w:rsidR="00C31D16">
        <w:t xml:space="preserve"> groups</w:t>
      </w:r>
      <w:r>
        <w:t xml:space="preserve"> (</w:t>
      </w:r>
      <w:proofErr w:type="spellStart"/>
      <w:r>
        <w:t>MCLi</w:t>
      </w:r>
      <w:proofErr w:type="spellEnd"/>
      <w:r>
        <w:t>=1.2).</w:t>
      </w:r>
    </w:p>
    <w:p w:rsidR="004B2E9B" w:rsidRDefault="004B2E9B">
      <w:r>
        <w:t xml:space="preserve">Labels show representative descriptions of the dominant cell type in </w:t>
      </w:r>
      <w:proofErr w:type="spellStart"/>
      <w:r w:rsidR="00C079AF">
        <w:t>coexpression</w:t>
      </w:r>
      <w:proofErr w:type="spellEnd"/>
      <w:r w:rsidR="00C079AF">
        <w:t xml:space="preserve"> groups</w:t>
      </w:r>
      <w:r>
        <w:t xml:space="preserve"> in each region of the network</w:t>
      </w:r>
      <w:r w:rsidR="004A75AC">
        <w:t xml:space="preserve">, </w:t>
      </w:r>
      <w:r w:rsidR="00D86291">
        <w:t xml:space="preserve">and </w:t>
      </w:r>
      <w:r w:rsidR="004A75AC">
        <w:t>a selection of highly-enriched pathways (FDR&lt;10-</w:t>
      </w:r>
      <w:r w:rsidR="00C403E0">
        <w:t>4</w:t>
      </w:r>
      <w:r w:rsidR="004A75AC">
        <w:t>) from KEGG</w:t>
      </w:r>
      <w:r w:rsidR="00C31D16">
        <w:t xml:space="preserve"> </w:t>
      </w:r>
      <w:r w:rsidR="004A75AC">
        <w:t xml:space="preserve">(K), </w:t>
      </w:r>
      <w:proofErr w:type="spellStart"/>
      <w:r w:rsidR="004A75AC">
        <w:t>WikiPathways</w:t>
      </w:r>
      <w:proofErr w:type="spellEnd"/>
      <w:r w:rsidR="00C31D16">
        <w:t xml:space="preserve"> </w:t>
      </w:r>
      <w:r w:rsidR="004A75AC">
        <w:t>(W)</w:t>
      </w:r>
      <w:r w:rsidR="004E6E77">
        <w:t xml:space="preserve">, </w:t>
      </w:r>
      <w:proofErr w:type="spellStart"/>
      <w:r w:rsidR="004E6E77">
        <w:t>Netpath</w:t>
      </w:r>
      <w:proofErr w:type="spellEnd"/>
      <w:r w:rsidR="00C31D16">
        <w:t xml:space="preserve"> </w:t>
      </w:r>
      <w:r w:rsidR="004E6E77">
        <w:t>(N)</w:t>
      </w:r>
      <w:r w:rsidR="004A75AC">
        <w:t xml:space="preserve"> and </w:t>
      </w:r>
      <w:proofErr w:type="spellStart"/>
      <w:r w:rsidR="004A75AC">
        <w:t>Reactome</w:t>
      </w:r>
      <w:proofErr w:type="spellEnd"/>
      <w:r w:rsidR="00C31D16">
        <w:t xml:space="preserve"> </w:t>
      </w:r>
      <w:r w:rsidR="004A75AC">
        <w:t>(R)</w:t>
      </w:r>
      <w:r>
        <w:t>.</w:t>
      </w:r>
    </w:p>
    <w:p w:rsidR="005426AA" w:rsidRDefault="005426AA"/>
    <w:p w:rsidR="004B2E9B" w:rsidRDefault="004B2E9B">
      <w:r>
        <w:br w:type="page"/>
      </w:r>
    </w:p>
    <w:p w:rsidR="009A6F39" w:rsidRDefault="009A6F39">
      <w:r>
        <w:rPr>
          <w:noProof/>
          <w:lang w:eastAsia="en-GB"/>
        </w:rPr>
        <w:lastRenderedPageBreak/>
        <w:drawing>
          <wp:inline distT="0" distB="0" distL="0" distR="0">
            <wp:extent cx="5367020" cy="8853170"/>
            <wp:effectExtent l="0" t="0" r="5080" b="5080"/>
            <wp:docPr id="5" name="Picture 5" descr="C:\JKB_home\Dropbox\2_proposals_and_publications\12. FIGURES\FANTOM5_MAIN\F5_flu_pathway_F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KB_home\Dropbox\2_proposals_and_publications\12. FIGURES\FANTOM5_MAIN\F5_flu_pathway_FLU.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7020" cy="8853170"/>
                    </a:xfrm>
                    <a:prstGeom prst="rect">
                      <a:avLst/>
                    </a:prstGeom>
                    <a:noFill/>
                    <a:ln>
                      <a:noFill/>
                    </a:ln>
                  </pic:spPr>
                </pic:pic>
              </a:graphicData>
            </a:graphic>
          </wp:inline>
        </w:drawing>
      </w:r>
    </w:p>
    <w:p w:rsidR="004B2E9B" w:rsidRDefault="004B2E9B">
      <w:proofErr w:type="gramStart"/>
      <w:r>
        <w:lastRenderedPageBreak/>
        <w:t xml:space="preserve">Supplementary Figure </w:t>
      </w:r>
      <w:r w:rsidR="003A300E">
        <w:t xml:space="preserve">JKB_S1 </w:t>
      </w:r>
      <w:r>
        <w:t>[</w:t>
      </w:r>
      <w:r w:rsidRPr="004B2E9B">
        <w:t>F5_flu_pathway_FLU.tif</w:t>
      </w:r>
      <w:r>
        <w:t>].</w:t>
      </w:r>
      <w:proofErr w:type="gramEnd"/>
      <w:r>
        <w:t xml:space="preserve"> Overlay of </w:t>
      </w:r>
      <w:proofErr w:type="spellStart"/>
      <w:r>
        <w:t>coexpression</w:t>
      </w:r>
      <w:proofErr w:type="spellEnd"/>
      <w:r>
        <w:t xml:space="preserve"> </w:t>
      </w:r>
      <w:r w:rsidR="00C31D16">
        <w:t>groups</w:t>
      </w:r>
      <w:r>
        <w:t xml:space="preserve"> enriched for genes involved in the KEGG pathway for influenza A pathogenesis (hsa</w:t>
      </w:r>
      <w:proofErr w:type="gramStart"/>
      <w:r>
        <w:t>:05164</w:t>
      </w:r>
      <w:proofErr w:type="gramEnd"/>
      <w:r>
        <w:t xml:space="preserve">; FDR&lt;0.1, n&gt;2). </w:t>
      </w:r>
      <w:r w:rsidR="00FA7C01">
        <w:t xml:space="preserve">(a) Collapsed </w:t>
      </w:r>
      <w:proofErr w:type="spellStart"/>
      <w:r w:rsidR="00FA7C01">
        <w:t>coexpression</w:t>
      </w:r>
      <w:proofErr w:type="spellEnd"/>
      <w:r w:rsidR="00FA7C01">
        <w:t xml:space="preserve"> network showing 5 </w:t>
      </w:r>
      <w:r w:rsidR="00C31D16">
        <w:t>groups</w:t>
      </w:r>
      <w:r w:rsidR="00FA7C01">
        <w:t xml:space="preserve"> enriched for influenza pathogenesis genes: C0 (blue), C26 (purple), C61 (yellow), C187 (green) and C413 (red). </w:t>
      </w:r>
      <w:r w:rsidR="009068EB">
        <w:t>(b) Excerpt from KEGG pathway diagram showing positions of gen</w:t>
      </w:r>
      <w:r w:rsidR="00680C99">
        <w:t xml:space="preserve">es in each </w:t>
      </w:r>
      <w:proofErr w:type="spellStart"/>
      <w:r w:rsidR="00680C99">
        <w:t>coexpression</w:t>
      </w:r>
      <w:proofErr w:type="spellEnd"/>
      <w:r w:rsidR="00680C99">
        <w:t xml:space="preserve"> group </w:t>
      </w:r>
      <w:r w:rsidR="00D457D4">
        <w:t>(</w:t>
      </w:r>
      <w:r w:rsidR="00C22776">
        <w:t xml:space="preserve">background </w:t>
      </w:r>
      <w:r w:rsidR="00D457D4">
        <w:t>colours as in (a</w:t>
      </w:r>
      <w:r w:rsidR="00C22776">
        <w:t>)).</w:t>
      </w:r>
      <w:r w:rsidR="00C22776" w:rsidRPr="00C22776">
        <w:t xml:space="preserve"> </w:t>
      </w:r>
      <w:r w:rsidR="00C22776">
        <w:t xml:space="preserve">Pathway entities that map to two </w:t>
      </w:r>
      <w:proofErr w:type="spellStart"/>
      <w:r w:rsidR="00C22776">
        <w:t>coexpression</w:t>
      </w:r>
      <w:proofErr w:type="spellEnd"/>
      <w:r w:rsidR="00C22776">
        <w:t xml:space="preserve"> groups have the background colour of the smaller group, and the text/border colour of the larger group. Details and promoter-level displays</w:t>
      </w:r>
      <w:r w:rsidR="00D6421F">
        <w:t xml:space="preserve"> (edges indicate </w:t>
      </w:r>
      <w:r w:rsidR="00C079AF">
        <w:t>r</w:t>
      </w:r>
      <w:r w:rsidR="00D6421F">
        <w:t>&gt;0.75)</w:t>
      </w:r>
      <w:r w:rsidR="00C22776">
        <w:t xml:space="preserve"> for two </w:t>
      </w:r>
      <w:proofErr w:type="spellStart"/>
      <w:r w:rsidR="00C22776">
        <w:t>coexpression</w:t>
      </w:r>
      <w:proofErr w:type="spellEnd"/>
      <w:r w:rsidR="00C22776">
        <w:t xml:space="preserve"> groups are displayed</w:t>
      </w:r>
      <w:r w:rsidR="00680C99">
        <w:t xml:space="preserve"> with transcripts mapping to KEGG pathway highlighted</w:t>
      </w:r>
      <w:r w:rsidR="00C22776">
        <w:t xml:space="preserve"> (inset).  </w:t>
      </w:r>
    </w:p>
    <w:p w:rsidR="00680C99" w:rsidRDefault="00680C99">
      <w:r>
        <w:t xml:space="preserve">[KEGG pathway is pixelated – I could fix this by manually drawing over it but probably not necessary for </w:t>
      </w:r>
      <w:r w:rsidR="000C6657">
        <w:t xml:space="preserve">a </w:t>
      </w:r>
      <w:r>
        <w:t>supplementary figure.</w:t>
      </w:r>
      <w:r w:rsidR="000C6657">
        <w:t xml:space="preserve"> I’ll do this if it is considered a possibility for a main figure!</w:t>
      </w:r>
      <w:r>
        <w:t>]</w:t>
      </w:r>
    </w:p>
    <w:p w:rsidR="00E91F7C" w:rsidRDefault="00E91F7C"/>
    <w:p w:rsidR="00E91F7C" w:rsidRDefault="00E91F7C">
      <w:r>
        <w:rPr>
          <w:noProof/>
          <w:lang w:eastAsia="en-GB"/>
        </w:rPr>
        <w:drawing>
          <wp:inline distT="0" distB="0" distL="0" distR="0">
            <wp:extent cx="5728335" cy="2864485"/>
            <wp:effectExtent l="0" t="0" r="0" b="0"/>
            <wp:docPr id="1" name="Picture 1" descr="C:\JKB_home\Dropbox\2_proposals_and_publications\12. FIGURES\FANTOM5_MAIN\IRF9_differential_expression_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KB_home\Dropbox\2_proposals_and_publications\12. FIGURES\FANTOM5_MAIN\IRF9_differential_expression_profil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335" cy="2864485"/>
                    </a:xfrm>
                    <a:prstGeom prst="rect">
                      <a:avLst/>
                    </a:prstGeom>
                    <a:noFill/>
                    <a:ln>
                      <a:noFill/>
                    </a:ln>
                  </pic:spPr>
                </pic:pic>
              </a:graphicData>
            </a:graphic>
          </wp:inline>
        </w:drawing>
      </w:r>
    </w:p>
    <w:p w:rsidR="00E91F7C" w:rsidRDefault="00E91F7C">
      <w:proofErr w:type="gramStart"/>
      <w:r>
        <w:t xml:space="preserve">Supplementary Figure </w:t>
      </w:r>
      <w:r w:rsidR="003A300E">
        <w:t xml:space="preserve">JKB_S2 </w:t>
      </w:r>
      <w:r>
        <w:t>[</w:t>
      </w:r>
      <w:r w:rsidRPr="00E91F7C">
        <w:t>IRF9_differential_expression_profiles.png</w:t>
      </w:r>
      <w:r>
        <w:t>].</w:t>
      </w:r>
      <w:proofErr w:type="gramEnd"/>
      <w:r>
        <w:t xml:space="preserve"> </w:t>
      </w:r>
      <w:proofErr w:type="gramStart"/>
      <w:r>
        <w:t>Differential expression specificity of two promoters of IRF9.</w:t>
      </w:r>
      <w:proofErr w:type="gramEnd"/>
      <w:r>
        <w:t xml:space="preserve"> </w:t>
      </w:r>
      <w:r w:rsidR="00B83FC4">
        <w:t xml:space="preserve">Expression is shown in all samples sorted by difference in specificity. </w:t>
      </w:r>
      <w:r>
        <w:t xml:space="preserve">Less abundant transcription initiating at a second promoter (p2@IRF9) is inducible in some cell types, in contrast to the more constitutive expression pattern of the dominant transcript (p1@IRF9). </w:t>
      </w:r>
    </w:p>
    <w:p w:rsidR="001B406B" w:rsidRDefault="001B406B">
      <w:r>
        <w:t xml:space="preserve">[NOTE – could we add a high-res image of the TSS for IRF9 from </w:t>
      </w:r>
      <w:proofErr w:type="spellStart"/>
      <w:r>
        <w:t>zenbu</w:t>
      </w:r>
      <w:proofErr w:type="spellEnd"/>
      <w:r>
        <w:t>?]</w:t>
      </w:r>
    </w:p>
    <w:p w:rsidR="00680C99" w:rsidRPr="002B07ED" w:rsidRDefault="00680C99"/>
    <w:sectPr w:rsidR="00680C99" w:rsidRPr="002B07ED" w:rsidSect="00DF6F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7E3"/>
    <w:rsid w:val="00044DAF"/>
    <w:rsid w:val="000503FB"/>
    <w:rsid w:val="000C6657"/>
    <w:rsid w:val="000D72F5"/>
    <w:rsid w:val="000E1296"/>
    <w:rsid w:val="00104E76"/>
    <w:rsid w:val="0013559A"/>
    <w:rsid w:val="00150E4E"/>
    <w:rsid w:val="00161DEB"/>
    <w:rsid w:val="001B406B"/>
    <w:rsid w:val="002A1132"/>
    <w:rsid w:val="002B07ED"/>
    <w:rsid w:val="002C245B"/>
    <w:rsid w:val="002C5935"/>
    <w:rsid w:val="00344F23"/>
    <w:rsid w:val="00373D88"/>
    <w:rsid w:val="00385FFB"/>
    <w:rsid w:val="003A300E"/>
    <w:rsid w:val="0046022A"/>
    <w:rsid w:val="00466E0D"/>
    <w:rsid w:val="00492A3F"/>
    <w:rsid w:val="004A2B83"/>
    <w:rsid w:val="004A75AC"/>
    <w:rsid w:val="004B2E9B"/>
    <w:rsid w:val="004E6E77"/>
    <w:rsid w:val="004F51AD"/>
    <w:rsid w:val="005426AA"/>
    <w:rsid w:val="00557AA2"/>
    <w:rsid w:val="005638A8"/>
    <w:rsid w:val="005806C0"/>
    <w:rsid w:val="005D7B80"/>
    <w:rsid w:val="005F57B0"/>
    <w:rsid w:val="00680C99"/>
    <w:rsid w:val="0068368A"/>
    <w:rsid w:val="006D1A93"/>
    <w:rsid w:val="006F5690"/>
    <w:rsid w:val="00731FA5"/>
    <w:rsid w:val="00754AE4"/>
    <w:rsid w:val="007912B3"/>
    <w:rsid w:val="007977B4"/>
    <w:rsid w:val="008A4068"/>
    <w:rsid w:val="009068EB"/>
    <w:rsid w:val="009A07F7"/>
    <w:rsid w:val="009A6F39"/>
    <w:rsid w:val="009D3BAF"/>
    <w:rsid w:val="009F7C1A"/>
    <w:rsid w:val="00AB301A"/>
    <w:rsid w:val="00B339F3"/>
    <w:rsid w:val="00B431FC"/>
    <w:rsid w:val="00B7116B"/>
    <w:rsid w:val="00B83FC4"/>
    <w:rsid w:val="00B87288"/>
    <w:rsid w:val="00C079AF"/>
    <w:rsid w:val="00C22776"/>
    <w:rsid w:val="00C31D16"/>
    <w:rsid w:val="00C347E3"/>
    <w:rsid w:val="00C403E0"/>
    <w:rsid w:val="00C667B4"/>
    <w:rsid w:val="00CD2309"/>
    <w:rsid w:val="00D457D4"/>
    <w:rsid w:val="00D4663A"/>
    <w:rsid w:val="00D522D4"/>
    <w:rsid w:val="00D6421F"/>
    <w:rsid w:val="00D86291"/>
    <w:rsid w:val="00DD3B4E"/>
    <w:rsid w:val="00DE72C2"/>
    <w:rsid w:val="00DF6F3B"/>
    <w:rsid w:val="00E037D6"/>
    <w:rsid w:val="00E410BE"/>
    <w:rsid w:val="00E81CBE"/>
    <w:rsid w:val="00E91F7C"/>
    <w:rsid w:val="00EE3825"/>
    <w:rsid w:val="00EE4013"/>
    <w:rsid w:val="00EE684F"/>
    <w:rsid w:val="00F937E0"/>
    <w:rsid w:val="00FA7C01"/>
    <w:rsid w:val="00FE0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D6"/>
    <w:pPr>
      <w:jc w:val="both"/>
    </w:pPr>
  </w:style>
  <w:style w:type="paragraph" w:styleId="Heading1">
    <w:name w:val="heading 1"/>
    <w:basedOn w:val="Normal"/>
    <w:next w:val="Normal"/>
    <w:link w:val="Heading1Char"/>
    <w:uiPriority w:val="9"/>
    <w:qFormat/>
    <w:rsid w:val="005D7B8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D7B80"/>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D7B80"/>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D7B80"/>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D7B8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7B8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7B8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7B8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D7B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B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D7B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D7B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D7B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D7B8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D7B8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7B8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7B8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D7B8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D7B80"/>
    <w:pPr>
      <w:spacing w:line="240" w:lineRule="auto"/>
    </w:pPr>
    <w:rPr>
      <w:b/>
      <w:bCs/>
      <w:color w:val="4F81BD" w:themeColor="accent1"/>
      <w:sz w:val="18"/>
      <w:szCs w:val="18"/>
    </w:rPr>
  </w:style>
  <w:style w:type="paragraph" w:styleId="Title">
    <w:name w:val="Title"/>
    <w:basedOn w:val="Normal"/>
    <w:next w:val="Normal"/>
    <w:link w:val="TitleChar"/>
    <w:uiPriority w:val="10"/>
    <w:qFormat/>
    <w:rsid w:val="005D7B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7B8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D7B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7B8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D7B80"/>
    <w:rPr>
      <w:b/>
      <w:bCs/>
    </w:rPr>
  </w:style>
  <w:style w:type="character" w:styleId="Emphasis">
    <w:name w:val="Emphasis"/>
    <w:basedOn w:val="DefaultParagraphFont"/>
    <w:uiPriority w:val="20"/>
    <w:qFormat/>
    <w:rsid w:val="005D7B80"/>
    <w:rPr>
      <w:i/>
      <w:iCs/>
    </w:rPr>
  </w:style>
  <w:style w:type="paragraph" w:styleId="NoSpacing">
    <w:name w:val="No Spacing"/>
    <w:uiPriority w:val="1"/>
    <w:qFormat/>
    <w:rsid w:val="005D7B80"/>
    <w:pPr>
      <w:spacing w:after="0" w:line="240" w:lineRule="auto"/>
    </w:pPr>
  </w:style>
  <w:style w:type="paragraph" w:styleId="ListParagraph">
    <w:name w:val="List Paragraph"/>
    <w:basedOn w:val="Normal"/>
    <w:uiPriority w:val="34"/>
    <w:qFormat/>
    <w:rsid w:val="005D7B80"/>
    <w:pPr>
      <w:ind w:left="720"/>
      <w:contextualSpacing/>
    </w:pPr>
  </w:style>
  <w:style w:type="paragraph" w:styleId="Quote">
    <w:name w:val="Quote"/>
    <w:basedOn w:val="Normal"/>
    <w:next w:val="Normal"/>
    <w:link w:val="QuoteChar"/>
    <w:uiPriority w:val="29"/>
    <w:qFormat/>
    <w:rsid w:val="005D7B80"/>
    <w:rPr>
      <w:i/>
      <w:iCs/>
      <w:color w:val="000000" w:themeColor="text1"/>
    </w:rPr>
  </w:style>
  <w:style w:type="character" w:customStyle="1" w:styleId="QuoteChar">
    <w:name w:val="Quote Char"/>
    <w:basedOn w:val="DefaultParagraphFont"/>
    <w:link w:val="Quote"/>
    <w:uiPriority w:val="29"/>
    <w:rsid w:val="005D7B80"/>
    <w:rPr>
      <w:i/>
      <w:iCs/>
      <w:color w:val="000000" w:themeColor="text1"/>
    </w:rPr>
  </w:style>
  <w:style w:type="paragraph" w:styleId="IntenseQuote">
    <w:name w:val="Intense Quote"/>
    <w:basedOn w:val="Normal"/>
    <w:next w:val="Normal"/>
    <w:link w:val="IntenseQuoteChar"/>
    <w:uiPriority w:val="30"/>
    <w:qFormat/>
    <w:rsid w:val="005D7B8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D7B80"/>
    <w:rPr>
      <w:b/>
      <w:bCs/>
      <w:i/>
      <w:iCs/>
      <w:color w:val="4F81BD" w:themeColor="accent1"/>
    </w:rPr>
  </w:style>
  <w:style w:type="character" w:styleId="SubtleEmphasis">
    <w:name w:val="Subtle Emphasis"/>
    <w:basedOn w:val="DefaultParagraphFont"/>
    <w:uiPriority w:val="19"/>
    <w:qFormat/>
    <w:rsid w:val="005D7B80"/>
    <w:rPr>
      <w:i/>
      <w:iCs/>
      <w:color w:val="808080" w:themeColor="text1" w:themeTint="7F"/>
    </w:rPr>
  </w:style>
  <w:style w:type="character" w:styleId="IntenseEmphasis">
    <w:name w:val="Intense Emphasis"/>
    <w:basedOn w:val="DefaultParagraphFont"/>
    <w:uiPriority w:val="21"/>
    <w:qFormat/>
    <w:rsid w:val="005D7B80"/>
    <w:rPr>
      <w:b/>
      <w:bCs/>
      <w:i/>
      <w:iCs/>
      <w:color w:val="4F81BD" w:themeColor="accent1"/>
    </w:rPr>
  </w:style>
  <w:style w:type="character" w:styleId="SubtleReference">
    <w:name w:val="Subtle Reference"/>
    <w:basedOn w:val="DefaultParagraphFont"/>
    <w:uiPriority w:val="31"/>
    <w:qFormat/>
    <w:rsid w:val="005D7B80"/>
    <w:rPr>
      <w:smallCaps/>
      <w:color w:val="C0504D" w:themeColor="accent2"/>
      <w:u w:val="single"/>
    </w:rPr>
  </w:style>
  <w:style w:type="character" w:styleId="IntenseReference">
    <w:name w:val="Intense Reference"/>
    <w:basedOn w:val="DefaultParagraphFont"/>
    <w:uiPriority w:val="32"/>
    <w:qFormat/>
    <w:rsid w:val="005D7B80"/>
    <w:rPr>
      <w:b/>
      <w:bCs/>
      <w:smallCaps/>
      <w:color w:val="C0504D" w:themeColor="accent2"/>
      <w:spacing w:val="5"/>
      <w:u w:val="single"/>
    </w:rPr>
  </w:style>
  <w:style w:type="character" w:styleId="BookTitle">
    <w:name w:val="Book Title"/>
    <w:basedOn w:val="DefaultParagraphFont"/>
    <w:uiPriority w:val="33"/>
    <w:qFormat/>
    <w:rsid w:val="005D7B80"/>
    <w:rPr>
      <w:b/>
      <w:bCs/>
      <w:smallCaps/>
      <w:spacing w:val="5"/>
    </w:rPr>
  </w:style>
  <w:style w:type="paragraph" w:styleId="TOCHeading">
    <w:name w:val="TOC Heading"/>
    <w:basedOn w:val="Heading1"/>
    <w:next w:val="Normal"/>
    <w:uiPriority w:val="39"/>
    <w:semiHidden/>
    <w:unhideWhenUsed/>
    <w:qFormat/>
    <w:rsid w:val="005D7B80"/>
    <w:pPr>
      <w:outlineLvl w:val="9"/>
    </w:pPr>
  </w:style>
  <w:style w:type="paragraph" w:styleId="BalloonText">
    <w:name w:val="Balloon Text"/>
    <w:basedOn w:val="Normal"/>
    <w:link w:val="BalloonTextChar"/>
    <w:uiPriority w:val="99"/>
    <w:semiHidden/>
    <w:unhideWhenUsed/>
    <w:rsid w:val="00542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6AA"/>
    <w:rPr>
      <w:rFonts w:ascii="Tahoma" w:hAnsi="Tahoma" w:cs="Tahoma"/>
      <w:sz w:val="16"/>
      <w:szCs w:val="16"/>
    </w:rPr>
  </w:style>
  <w:style w:type="paragraph" w:styleId="Bibliography">
    <w:name w:val="Bibliography"/>
    <w:basedOn w:val="Normal"/>
    <w:next w:val="Normal"/>
    <w:uiPriority w:val="37"/>
    <w:unhideWhenUsed/>
    <w:rsid w:val="002C5935"/>
    <w:pPr>
      <w:tabs>
        <w:tab w:val="left" w:pos="264"/>
      </w:tabs>
      <w:spacing w:after="0" w:line="240" w:lineRule="auto"/>
      <w:ind w:left="264" w:hanging="26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D6"/>
    <w:pPr>
      <w:jc w:val="both"/>
    </w:pPr>
  </w:style>
  <w:style w:type="paragraph" w:styleId="Heading1">
    <w:name w:val="heading 1"/>
    <w:basedOn w:val="Normal"/>
    <w:next w:val="Normal"/>
    <w:link w:val="Heading1Char"/>
    <w:uiPriority w:val="9"/>
    <w:qFormat/>
    <w:rsid w:val="005D7B8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D7B80"/>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D7B80"/>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D7B80"/>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D7B8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7B8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7B8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7B8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D7B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B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D7B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D7B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D7B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D7B8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D7B8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7B8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7B8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D7B8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D7B80"/>
    <w:pPr>
      <w:spacing w:line="240" w:lineRule="auto"/>
    </w:pPr>
    <w:rPr>
      <w:b/>
      <w:bCs/>
      <w:color w:val="4F81BD" w:themeColor="accent1"/>
      <w:sz w:val="18"/>
      <w:szCs w:val="18"/>
    </w:rPr>
  </w:style>
  <w:style w:type="paragraph" w:styleId="Title">
    <w:name w:val="Title"/>
    <w:basedOn w:val="Normal"/>
    <w:next w:val="Normal"/>
    <w:link w:val="TitleChar"/>
    <w:uiPriority w:val="10"/>
    <w:qFormat/>
    <w:rsid w:val="005D7B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7B8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D7B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7B8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D7B80"/>
    <w:rPr>
      <w:b/>
      <w:bCs/>
    </w:rPr>
  </w:style>
  <w:style w:type="character" w:styleId="Emphasis">
    <w:name w:val="Emphasis"/>
    <w:basedOn w:val="DefaultParagraphFont"/>
    <w:uiPriority w:val="20"/>
    <w:qFormat/>
    <w:rsid w:val="005D7B80"/>
    <w:rPr>
      <w:i/>
      <w:iCs/>
    </w:rPr>
  </w:style>
  <w:style w:type="paragraph" w:styleId="NoSpacing">
    <w:name w:val="No Spacing"/>
    <w:uiPriority w:val="1"/>
    <w:qFormat/>
    <w:rsid w:val="005D7B80"/>
    <w:pPr>
      <w:spacing w:after="0" w:line="240" w:lineRule="auto"/>
    </w:pPr>
  </w:style>
  <w:style w:type="paragraph" w:styleId="ListParagraph">
    <w:name w:val="List Paragraph"/>
    <w:basedOn w:val="Normal"/>
    <w:uiPriority w:val="34"/>
    <w:qFormat/>
    <w:rsid w:val="005D7B80"/>
    <w:pPr>
      <w:ind w:left="720"/>
      <w:contextualSpacing/>
    </w:pPr>
  </w:style>
  <w:style w:type="paragraph" w:styleId="Quote">
    <w:name w:val="Quote"/>
    <w:basedOn w:val="Normal"/>
    <w:next w:val="Normal"/>
    <w:link w:val="QuoteChar"/>
    <w:uiPriority w:val="29"/>
    <w:qFormat/>
    <w:rsid w:val="005D7B80"/>
    <w:rPr>
      <w:i/>
      <w:iCs/>
      <w:color w:val="000000" w:themeColor="text1"/>
    </w:rPr>
  </w:style>
  <w:style w:type="character" w:customStyle="1" w:styleId="QuoteChar">
    <w:name w:val="Quote Char"/>
    <w:basedOn w:val="DefaultParagraphFont"/>
    <w:link w:val="Quote"/>
    <w:uiPriority w:val="29"/>
    <w:rsid w:val="005D7B80"/>
    <w:rPr>
      <w:i/>
      <w:iCs/>
      <w:color w:val="000000" w:themeColor="text1"/>
    </w:rPr>
  </w:style>
  <w:style w:type="paragraph" w:styleId="IntenseQuote">
    <w:name w:val="Intense Quote"/>
    <w:basedOn w:val="Normal"/>
    <w:next w:val="Normal"/>
    <w:link w:val="IntenseQuoteChar"/>
    <w:uiPriority w:val="30"/>
    <w:qFormat/>
    <w:rsid w:val="005D7B8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D7B80"/>
    <w:rPr>
      <w:b/>
      <w:bCs/>
      <w:i/>
      <w:iCs/>
      <w:color w:val="4F81BD" w:themeColor="accent1"/>
    </w:rPr>
  </w:style>
  <w:style w:type="character" w:styleId="SubtleEmphasis">
    <w:name w:val="Subtle Emphasis"/>
    <w:basedOn w:val="DefaultParagraphFont"/>
    <w:uiPriority w:val="19"/>
    <w:qFormat/>
    <w:rsid w:val="005D7B80"/>
    <w:rPr>
      <w:i/>
      <w:iCs/>
      <w:color w:val="808080" w:themeColor="text1" w:themeTint="7F"/>
    </w:rPr>
  </w:style>
  <w:style w:type="character" w:styleId="IntenseEmphasis">
    <w:name w:val="Intense Emphasis"/>
    <w:basedOn w:val="DefaultParagraphFont"/>
    <w:uiPriority w:val="21"/>
    <w:qFormat/>
    <w:rsid w:val="005D7B80"/>
    <w:rPr>
      <w:b/>
      <w:bCs/>
      <w:i/>
      <w:iCs/>
      <w:color w:val="4F81BD" w:themeColor="accent1"/>
    </w:rPr>
  </w:style>
  <w:style w:type="character" w:styleId="SubtleReference">
    <w:name w:val="Subtle Reference"/>
    <w:basedOn w:val="DefaultParagraphFont"/>
    <w:uiPriority w:val="31"/>
    <w:qFormat/>
    <w:rsid w:val="005D7B80"/>
    <w:rPr>
      <w:smallCaps/>
      <w:color w:val="C0504D" w:themeColor="accent2"/>
      <w:u w:val="single"/>
    </w:rPr>
  </w:style>
  <w:style w:type="character" w:styleId="IntenseReference">
    <w:name w:val="Intense Reference"/>
    <w:basedOn w:val="DefaultParagraphFont"/>
    <w:uiPriority w:val="32"/>
    <w:qFormat/>
    <w:rsid w:val="005D7B80"/>
    <w:rPr>
      <w:b/>
      <w:bCs/>
      <w:smallCaps/>
      <w:color w:val="C0504D" w:themeColor="accent2"/>
      <w:spacing w:val="5"/>
      <w:u w:val="single"/>
    </w:rPr>
  </w:style>
  <w:style w:type="character" w:styleId="BookTitle">
    <w:name w:val="Book Title"/>
    <w:basedOn w:val="DefaultParagraphFont"/>
    <w:uiPriority w:val="33"/>
    <w:qFormat/>
    <w:rsid w:val="005D7B80"/>
    <w:rPr>
      <w:b/>
      <w:bCs/>
      <w:smallCaps/>
      <w:spacing w:val="5"/>
    </w:rPr>
  </w:style>
  <w:style w:type="paragraph" w:styleId="TOCHeading">
    <w:name w:val="TOC Heading"/>
    <w:basedOn w:val="Heading1"/>
    <w:next w:val="Normal"/>
    <w:uiPriority w:val="39"/>
    <w:semiHidden/>
    <w:unhideWhenUsed/>
    <w:qFormat/>
    <w:rsid w:val="005D7B80"/>
    <w:pPr>
      <w:outlineLvl w:val="9"/>
    </w:pPr>
  </w:style>
  <w:style w:type="paragraph" w:styleId="BalloonText">
    <w:name w:val="Balloon Text"/>
    <w:basedOn w:val="Normal"/>
    <w:link w:val="BalloonTextChar"/>
    <w:uiPriority w:val="99"/>
    <w:semiHidden/>
    <w:unhideWhenUsed/>
    <w:rsid w:val="00542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6AA"/>
    <w:rPr>
      <w:rFonts w:ascii="Tahoma" w:hAnsi="Tahoma" w:cs="Tahoma"/>
      <w:sz w:val="16"/>
      <w:szCs w:val="16"/>
    </w:rPr>
  </w:style>
  <w:style w:type="paragraph" w:styleId="Bibliography">
    <w:name w:val="Bibliography"/>
    <w:basedOn w:val="Normal"/>
    <w:next w:val="Normal"/>
    <w:uiPriority w:val="37"/>
    <w:unhideWhenUsed/>
    <w:rsid w:val="002C5935"/>
    <w:pPr>
      <w:tabs>
        <w:tab w:val="left" w:pos="264"/>
      </w:tabs>
      <w:spacing w:after="0"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2478</Words>
  <Characters>14126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Baillie</dc:creator>
  <cp:lastModifiedBy>Ken Baillie</cp:lastModifiedBy>
  <cp:revision>2</cp:revision>
  <dcterms:created xsi:type="dcterms:W3CDTF">2012-07-10T12:27:00Z</dcterms:created>
  <dcterms:modified xsi:type="dcterms:W3CDTF">2012-07-10T12:27:00Z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id="axkWdwvB"/&gt;&lt;style id="http://www.zotero.org/styles/nature" hasBibliography="1" bibliographyStyleHasBeenSet="1"/&gt;&lt;prefs&gt;&lt;pref name="fieldType" value="Field"/&gt;&lt;pref name="storeReferences" value="tru</vt:lpwstr>
  </property>
  <property fmtid="{D5CDD505-2E9C-101B-9397-08002B2CF9AE}" pid="3" name="ZOTERO_PREF_2">
    <vt:lpwstr>e"/&gt;&lt;pref name="noteType" value="0"/&gt;&lt;/prefs&gt;&lt;/data&gt;</vt:lpwstr>
  </property>
</Properties>
</file>